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DHI-LD-AI-W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 ≤23 dBm@5150-5250 MHz; 
≤20 dBm@5250-5350 MHz; ≤27 dBm@5470-5725 MHz; 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USB</w:t>
            </w:r>
          </w:p>
        </w:tc>
        <w:tc>
          <w:p>
            <w:r>
              <w:t>USB 2.0, Type-A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USB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1.5W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℃ to +40 °C (+32 °F to +104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Protection</w:t>
            </w:r>
          </w:p>
        </w:tc>
        <w:tc>
          <w:p>
            <w:r>
              <w:t>IP20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Case: SPCC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173.5 mm × 117.8 mm × 14 mm (6.83" × 4.64" × 0.55") (The antenna is folded)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250 mm × 144 mm × 67 mm (9.84" × 5.67" × 2.64")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130 g (0.29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260 g (0.57lb)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Holes Distance</w:t>
            </w:r>
          </w:p>
        </w:tc>
        <w:tc>
          <w:p>
            <w:r>
              <w:t>51 mm (2.01")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