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EDLA;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DHI-LPH65-ST430-L-C37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7/8/10/11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MHz; 
5150–5250 MHz; 
5250–5350 MHz; 
5470–5725 MHz; 
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
≤23 dBm@5150–5250 MHz; 
≤20 dBm@5250–5350 MHz; 
≤27 dBm@5470–5725 MHz; 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