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CE; ENERGY STAR; CB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DHI-LPH86-MC470-C-S2-B36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Wi-Fi Standard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Station: 802.11b/g/n/a/ac/ax  
AP: 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MHz, 5150–5350 MHz, 5470–5725 MHz, 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≤23 dBm@5150–5250 MHz;
≤20 dBm@5250–5350 MHz; ≤27 dBm@5470–5725 MHz;
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BR/EDR/BLE, BT5.2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42 dBuA/m @10 m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Protective Glass</w:t>
            </w:r>
          </w:p>
        </w:tc>
        <w:tc>
          <w:p>
            <w:r>
              <w:t>3.2 mm anti-dazzle tempered glass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Glass Thickness</w:t>
            </w:r>
          </w:p>
        </w:tc>
        <w:tc>
          <w:p>
            <w:r>
              <w:t>3.2 mm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