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DHI-LPH86-ST420-S3-CJ-CHF-20W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2.4 GHz/5 GHz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dBm@2400–2483.5 MHz; ≤23 dBm@5150–5250 MHz;
≤20 dBm@5250–5350 MHz; ≤27 dBm@5470–5725 MHz;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EDR, BT2.1/4.2/5.2/5.3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