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/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CE, Energy Star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/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 xml:space="preserve"> | DHI-SP-PI5C82IS-ZW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Wi-Fi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802.11a/b/g/n/ac/ax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2400-2483.5 MHz, 5170-5330 MHz, 5490-5730 MHz, 5730-5835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CE EIRP:
≤20 dBm@2400;
≤23 dBm@5150-5250 MHz;
≤23 dBm@5250-5350 MHz;
≤23 dBm@5470-5650 MHz;
≤23 dBm@5650-5725 MHz;
≤14 dBm@5725-5850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BRIEF  Bluetooth5.2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2400-2483.5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CE EIRP: ≤20 dBm@2400–2483.5 MHz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