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tblW w:w="11908" w:type="dxa"/>
        <w:tblLayout w:type="fixed"/>
        <w:tblCellMar>
          <w:left w:w="0" w:type="dxa"/>
          <w:right w:w="0" w:type="dxa"/>
        </w:tblCellMar>
        <w:tblLook w:val="00BF"/>
      </w:tblPr>
      <w:tblGrid>
        <w:gridCol w:w="794"/>
        <w:gridCol w:w="10320"/>
        <w:gridCol w:w="794"/>
      </w:tblGrid>
      <w:tr>
        <w:tblPrEx>
          <w:tblW w:w="11908" w:type="dxa"/>
          <w:tblLayout w:type="fixed"/>
          <w:tblCellMar>
            <w:left w:w="0" w:type="dxa"/>
            <w:right w:w="0" w:type="dxa"/>
          </w:tblCellMar>
          <w:tblLook w:val="00BF"/>
        </w:tblPrEx>
        <w:trPr>
          <w:trHeight w:hRule="exact" w:val="595"/>
        </w:trPr>
        <w:tc>
          <w:tcPr>
            <w:tcW w:w="794" w:type="dxa"/>
            <w:vAlign w:val="center"/>
          </w:tcPr>
          <w:p>
            <w:pPr>
              <w:spacing w:before="0" w:line="240" w:lineRule="auto"/>
              <w:ind w:left="0"/>
              <w:rPr>
                <w:sz w:val="20"/>
                <w:szCs w:val="20"/>
              </w:rPr>
            </w:pPr>
          </w:p>
        </w:tc>
        <w:tc>
          <w:tcPr>
            <w:tcW w:w="11114" w:type="dxa"/>
            <w:gridSpan w:val="2"/>
            <w:vAlign w:val="center"/>
          </w:tcPr>
          <w:p>
            <w:pPr>
              <w:spacing w:before="0" w:after="200" w:line="240" w:lineRule="auto"/>
              <w:ind w:left="0"/>
              <w:rPr>
                <w:sz w:val="20"/>
                <w:szCs w:val="20"/>
              </w:rPr>
            </w:pPr>
          </w:p>
        </w:tc>
      </w:tr>
      <w:tr>
        <w:tblPrEx>
          <w:tblW w:w="11908" w:type="dxa"/>
          <w:tblLayout w:type="fixed"/>
          <w:tblCellMar>
            <w:left w:w="0" w:type="dxa"/>
            <w:right w:w="0" w:type="dxa"/>
          </w:tblCellMar>
          <w:tblLook w:val="00BF"/>
        </w:tblPrEx>
        <w:trPr>
          <w:trHeight w:hRule="exact" w:val="2552"/>
        </w:trPr>
        <w:tc>
          <w:tcPr>
            <w:tcW w:w="11908" w:type="dxa"/>
            <w:gridSpan w:val="3"/>
            <w:vAlign w:val="center"/>
          </w:tcPr>
          <w:p>
            <w:pPr>
              <w:spacing w:before="0" w:line="240" w:lineRule="auto"/>
              <w:ind w:left="0"/>
              <w:rPr>
                <w:rFonts w:ascii="宋体" w:hAnsi="宋体" w:cs="宋体"/>
                <w:sz w:val="20"/>
                <w:szCs w:val="20"/>
              </w:rPr>
            </w:pPr>
          </w:p>
        </w:tc>
      </w:tr>
      <w:tr>
        <w:tblPrEx>
          <w:tblW w:w="11908" w:type="dxa"/>
          <w:tblLayout w:type="fixed"/>
          <w:tblCellMar>
            <w:left w:w="0" w:type="dxa"/>
            <w:right w:w="0" w:type="dxa"/>
          </w:tblCellMar>
          <w:tblLook w:val="00BF"/>
        </w:tblPrEx>
        <w:trPr>
          <w:trHeight w:hRule="exact" w:val="3430"/>
        </w:trPr>
        <w:tc>
          <w:tcPr>
            <w:tcW w:w="11114" w:type="dxa"/>
            <w:gridSpan w:val="2"/>
            <w:vAlign w:val="center"/>
          </w:tcPr>
          <w:p>
            <w:pPr>
              <w:spacing w:before="0" w:after="200" w:line="240" w:lineRule="auto"/>
              <w:ind w:left="0"/>
              <w:rPr>
                <w:sz w:val="20"/>
                <w:szCs w:val="20"/>
              </w:rPr>
            </w:pPr>
          </w:p>
        </w:tc>
        <w:tc>
          <w:tcPr>
            <w:tcW w:w="794" w:type="dxa"/>
            <w:vAlign w:val="center"/>
          </w:tcPr>
          <w:p>
            <w:pPr>
              <w:spacing w:before="0" w:line="240" w:lineRule="auto"/>
              <w:ind w:left="0"/>
              <w:rPr>
                <w:sz w:val="20"/>
                <w:szCs w:val="20"/>
              </w:rPr>
            </w:pPr>
          </w:p>
        </w:tc>
      </w:tr>
      <w:tr>
        <w:tblPrEx>
          <w:tblW w:w="11908" w:type="dxa"/>
          <w:tblLayout w:type="fixed"/>
          <w:tblCellMar>
            <w:left w:w="0" w:type="dxa"/>
            <w:right w:w="0" w:type="dxa"/>
          </w:tblCellMar>
          <w:tblLook w:val="00BF"/>
        </w:tblPrEx>
        <w:trPr>
          <w:trHeight w:hRule="exact" w:val="199"/>
        </w:trPr>
        <w:tc>
          <w:tcPr>
            <w:tcW w:w="11908" w:type="dxa"/>
            <w:gridSpan w:val="3"/>
            <w:vAlign w:val="center"/>
          </w:tcPr>
          <w:p>
            <w:pPr>
              <w:spacing w:before="0" w:line="240" w:lineRule="auto"/>
              <w:ind w:left="0"/>
              <w:rPr>
                <w:sz w:val="20"/>
                <w:szCs w:val="20"/>
              </w:rPr>
            </w:pPr>
          </w:p>
        </w:tc>
      </w:tr>
      <w:tr>
        <w:tblPrEx>
          <w:tblW w:w="11908" w:type="dxa"/>
          <w:tblLayout w:type="fixed"/>
          <w:tblCellMar>
            <w:left w:w="0" w:type="dxa"/>
            <w:right w:w="0" w:type="dxa"/>
          </w:tblCellMar>
          <w:tblLook w:val="00BF"/>
        </w:tblPrEx>
        <w:trPr>
          <w:trHeight w:val="624"/>
        </w:trPr>
        <w:tc>
          <w:tcPr>
            <w:tcW w:w="11114" w:type="dxa"/>
            <w:gridSpan w:val="2"/>
            <w:vAlign w:val="center"/>
          </w:tcPr>
          <w:p>
            <w:pPr>
              <w:spacing w:before="0" w:after="0" w:line="240" w:lineRule="auto"/>
              <w:ind w:left="0"/>
              <w:jc w:val="right"/>
              <w:rPr>
                <w:rFonts w:ascii="Arial" w:eastAsia="黑体" w:hAnsi="Arial" w:cs="Arial"/>
                <w:bCs/>
                <w:color w:val="000000"/>
                <w:sz w:val="44"/>
                <w:szCs w:val="44"/>
                <w:lang w:val="zh-CN"/>
              </w:rPr>
            </w:pPr>
            <w:r>
              <w:fldChar w:fldCharType="begin"/>
            </w:r>
            <w:r>
              <w:rPr>
                <w:rFonts w:ascii="Arial" w:eastAsia="黑体" w:hAnsi="Arial" w:cs="Arial"/>
                <w:bCs/>
                <w:color w:val="000000"/>
                <w:sz w:val="44"/>
                <w:szCs w:val="44"/>
                <w:lang w:val="zh-CN"/>
              </w:rPr>
              <w:instrText>DOCPROPERTY "Product&amp;Project Name"</w:instrText>
            </w:r>
            <w:r>
              <w:fldChar w:fldCharType="separate"/>
            </w:r>
            <w:r>
              <w:rPr>
                <w:rFonts w:ascii="Arial" w:eastAsia="黑体" w:hAnsi="Arial" w:cs="Arial"/>
                <w:bCs/>
                <w:color w:val="000000"/>
                <w:sz w:val="44"/>
                <w:szCs w:val="44"/>
                <w:lang w:val="zh-CN"/>
              </w:rPr>
              <w:t>Immersive Telepresence</w:t>
            </w:r>
            <w:r>
              <w:fldChar w:fldCharType="end"/>
            </w:r>
          </w:p>
        </w:tc>
        <w:tc>
          <w:tcPr>
            <w:tcW w:w="794" w:type="dxa"/>
            <w:vAlign w:val="center"/>
          </w:tcPr>
          <w:p>
            <w:pPr>
              <w:spacing w:before="0" w:after="0" w:line="240" w:lineRule="auto"/>
              <w:ind w:left="0"/>
              <w:rPr>
                <w:rFonts w:ascii="Arial" w:eastAsia="AdobeSongStd-Light" w:hAnsi="Arial" w:cs="HelveticaNeue-CondensedBold"/>
                <w:b/>
                <w:bCs/>
                <w:color w:val="000000"/>
                <w:w w:val="85"/>
                <w:sz w:val="48"/>
                <w:szCs w:val="48"/>
                <w:lang w:val="zh-CN"/>
              </w:rPr>
            </w:pPr>
          </w:p>
        </w:tc>
      </w:tr>
      <w:tr>
        <w:tblPrEx>
          <w:tblW w:w="11908" w:type="dxa"/>
          <w:tblLayout w:type="fixed"/>
          <w:tblCellMar>
            <w:left w:w="0" w:type="dxa"/>
            <w:right w:w="0" w:type="dxa"/>
          </w:tblCellMar>
          <w:tblLook w:val="00BF"/>
        </w:tblPrEx>
        <w:trPr>
          <w:trHeight w:val="1781"/>
        </w:trPr>
        <w:tc>
          <w:tcPr>
            <w:tcW w:w="11114" w:type="dxa"/>
            <w:gridSpan w:val="2"/>
            <w:vAlign w:val="center"/>
          </w:tcPr>
          <w:p>
            <w:pPr>
              <w:spacing w:before="0" w:line="240" w:lineRule="auto"/>
              <w:ind w:left="0"/>
              <w:jc w:val="right"/>
              <w:rPr>
                <w:rFonts w:ascii="Arial" w:hAnsi="Arial" w:cs="HelveticaNeue-CondensedBold"/>
                <w:b/>
                <w:bCs/>
                <w:w w:val="85"/>
                <w:sz w:val="76"/>
                <w:szCs w:val="76"/>
              </w:rPr>
            </w:pPr>
            <w:r>
              <w:fldChar w:fldCharType="begin"/>
            </w:r>
            <w:r>
              <w:rPr>
                <w:rFonts w:ascii="Arial" w:hAnsi="Arial" w:cs="HelveticaNeue-CondensedBold"/>
                <w:b/>
                <w:bCs/>
                <w:w w:val="85"/>
                <w:sz w:val="76"/>
                <w:szCs w:val="76"/>
              </w:rPr>
              <w:instrText>DOCPROPERTY DocumentName</w:instrText>
            </w:r>
            <w:r>
              <w:fldChar w:fldCharType="separate"/>
            </w:r>
            <w:r>
              <w:rPr>
                <w:rFonts w:ascii="Arial" w:hAnsi="Arial" w:cs="HelveticaNeue-CondensedBold"/>
                <w:b/>
                <w:bCs/>
                <w:w w:val="85"/>
                <w:sz w:val="76"/>
                <w:szCs w:val="76"/>
              </w:rPr>
              <w:t>Conference Room Decoration Guide</w:t>
            </w:r>
            <w:r>
              <w:fldChar w:fldCharType="end"/>
            </w:r>
          </w:p>
        </w:tc>
        <w:tc>
          <w:tcPr>
            <w:tcW w:w="794" w:type="dxa"/>
            <w:vAlign w:val="center"/>
          </w:tcPr>
          <w:p>
            <w:pPr>
              <w:spacing w:before="0" w:line="240" w:lineRule="auto"/>
              <w:ind w:left="0"/>
              <w:rPr>
                <w:sz w:val="20"/>
                <w:szCs w:val="20"/>
              </w:rPr>
            </w:pPr>
          </w:p>
        </w:tc>
      </w:tr>
      <w:tr>
        <w:tblPrEx>
          <w:tblW w:w="11908" w:type="dxa"/>
          <w:tblLayout w:type="fixed"/>
          <w:tblCellMar>
            <w:left w:w="0" w:type="dxa"/>
            <w:right w:w="0" w:type="dxa"/>
          </w:tblCellMar>
          <w:tblLook w:val="00BF"/>
        </w:tblPrEx>
        <w:trPr>
          <w:trHeight w:hRule="exact" w:val="142"/>
        </w:trPr>
        <w:tc>
          <w:tcPr>
            <w:tcW w:w="11908" w:type="dxa"/>
            <w:gridSpan w:val="3"/>
            <w:vAlign w:val="center"/>
          </w:tcPr>
          <w:p>
            <w:pPr>
              <w:spacing w:before="0" w:line="240" w:lineRule="auto"/>
              <w:ind w:left="0"/>
              <w:rPr>
                <w:sz w:val="20"/>
                <w:szCs w:val="20"/>
              </w:rPr>
            </w:pPr>
          </w:p>
        </w:tc>
      </w:tr>
      <w:tr>
        <w:tblPrEx>
          <w:tblW w:w="11908" w:type="dxa"/>
          <w:tblLayout w:type="fixed"/>
          <w:tblCellMar>
            <w:left w:w="0" w:type="dxa"/>
            <w:right w:w="0" w:type="dxa"/>
          </w:tblCellMar>
          <w:tblLook w:val="00BF"/>
        </w:tblPrEx>
        <w:trPr>
          <w:trHeight w:hRule="exact" w:val="363"/>
        </w:trPr>
        <w:tc>
          <w:tcPr>
            <w:tcW w:w="11114" w:type="dxa"/>
            <w:gridSpan w:val="2"/>
            <w:vAlign w:val="center"/>
          </w:tcPr>
          <w:p>
            <w:pPr>
              <w:widowControl w:val="0"/>
              <w:autoSpaceDE w:val="0"/>
              <w:autoSpaceDN w:val="0"/>
              <w:spacing w:before="0" w:after="0" w:line="288" w:lineRule="auto"/>
              <w:ind w:left="0"/>
              <w:jc w:val="right"/>
              <w:textAlignment w:val="center"/>
              <w:rPr>
                <w:rFonts w:ascii="Arial" w:eastAsia="AdobeSongStd-Light" w:hAnsi="Arial" w:cs="MyriadPro-Regular"/>
                <w:color w:val="000000"/>
                <w:sz w:val="36"/>
                <w:szCs w:val="36"/>
                <w:lang w:val="zh-CN"/>
              </w:rPr>
            </w:pPr>
            <w:r>
              <w:fldChar w:fldCharType="begin"/>
            </w:r>
            <w:r>
              <w:rPr>
                <w:rFonts w:ascii="Arial" w:eastAsia="AdobeSongStd-Light" w:hAnsi="Arial" w:cs="MyriadPro-Regular"/>
                <w:color w:val="000000"/>
                <w:sz w:val="36"/>
                <w:szCs w:val="36"/>
                <w:lang w:val="zh-CN"/>
              </w:rPr>
              <w:instrText>DOCPROPERTY ProductVersion</w:instrText>
            </w:r>
            <w:r>
              <w:fldChar w:fldCharType="separate"/>
            </w:r>
            <w:r>
              <w:rPr>
                <w:rFonts w:ascii="Arial" w:eastAsia="AdobeSongStd-Light" w:hAnsi="Arial" w:cs="MyriadPro-Regular"/>
                <w:color w:val="000000"/>
                <w:sz w:val="36"/>
                <w:szCs w:val="36"/>
                <w:lang w:val="zh-CN"/>
              </w:rPr>
              <w:t>25.1</w:t>
            </w:r>
            <w:r>
              <w:fldChar w:fldCharType="end"/>
            </w:r>
          </w:p>
        </w:tc>
        <w:tc>
          <w:tcPr>
            <w:tcW w:w="794" w:type="dxa"/>
            <w:vAlign w:val="center"/>
          </w:tcPr>
          <w:p>
            <w:pPr>
              <w:spacing w:before="0" w:line="240" w:lineRule="auto"/>
              <w:ind w:left="0"/>
              <w:rPr>
                <w:sz w:val="20"/>
                <w:szCs w:val="20"/>
              </w:rPr>
            </w:pPr>
          </w:p>
        </w:tc>
      </w:tr>
      <w:tr>
        <w:tblPrEx>
          <w:tblW w:w="11908" w:type="dxa"/>
          <w:tblLayout w:type="fixed"/>
          <w:tblCellMar>
            <w:left w:w="0" w:type="dxa"/>
            <w:right w:w="0" w:type="dxa"/>
          </w:tblCellMar>
          <w:tblLook w:val="00BF"/>
        </w:tblPrEx>
        <w:trPr>
          <w:trHeight w:hRule="exact" w:val="369"/>
        </w:trPr>
        <w:tc>
          <w:tcPr>
            <w:tcW w:w="11908" w:type="dxa"/>
            <w:gridSpan w:val="3"/>
            <w:vAlign w:val="center"/>
          </w:tcPr>
          <w:p>
            <w:pPr>
              <w:spacing w:before="0" w:line="240" w:lineRule="auto"/>
              <w:ind w:left="0"/>
              <w:rPr>
                <w:sz w:val="20"/>
                <w:szCs w:val="20"/>
              </w:rPr>
            </w:pPr>
          </w:p>
        </w:tc>
      </w:tr>
      <w:tr>
        <w:tblPrEx>
          <w:tblW w:w="11908" w:type="dxa"/>
          <w:tblLayout w:type="fixed"/>
          <w:tblCellMar>
            <w:left w:w="0" w:type="dxa"/>
            <w:right w:w="0" w:type="dxa"/>
          </w:tblCellMar>
          <w:tblLook w:val="00BF"/>
        </w:tblPrEx>
        <w:trPr>
          <w:trHeight w:val="680"/>
        </w:trPr>
        <w:tc>
          <w:tcPr>
            <w:tcW w:w="11114" w:type="dxa"/>
            <w:gridSpan w:val="2"/>
            <w:vAlign w:val="center"/>
          </w:tcPr>
          <w:p>
            <w:pPr>
              <w:spacing w:before="0" w:after="0" w:line="300" w:lineRule="exact"/>
              <w:ind w:left="0"/>
              <w:jc w:val="right"/>
              <w:rPr>
                <w:rFonts w:ascii="Arial" w:hAnsi="Arial" w:cs="Arial"/>
                <w:sz w:val="20"/>
                <w:szCs w:val="20"/>
              </w:rPr>
            </w:pPr>
            <w:r>
              <w:rPr>
                <w:rFonts w:ascii="Arial" w:hAnsi="Arial" w:cs="Arial"/>
                <w:sz w:val="20"/>
                <w:szCs w:val="20"/>
              </w:rPr>
              <w:t>Issue:</w:t>
            </w:r>
            <w:r>
              <w:fldChar w:fldCharType="begin"/>
            </w:r>
            <w:r>
              <w:rPr>
                <w:rFonts w:ascii="Arial" w:hAnsi="Arial" w:cs="Arial"/>
                <w:sz w:val="20"/>
                <w:szCs w:val="20"/>
              </w:rPr>
              <w:instrText>DOCPROPERTY DocumentVersion</w:instrText>
            </w:r>
            <w:r>
              <w:fldChar w:fldCharType="separate"/>
            </w:r>
            <w:r>
              <w:rPr>
                <w:rFonts w:ascii="Arial" w:hAnsi="Arial" w:cs="Arial"/>
                <w:sz w:val="20"/>
                <w:szCs w:val="20"/>
              </w:rPr>
              <w:t>01</w:t>
            </w:r>
            <w:r>
              <w:fldChar w:fldCharType="end"/>
            </w:r>
          </w:p>
          <w:p>
            <w:pPr>
              <w:spacing w:before="0" w:after="0" w:line="300" w:lineRule="exact"/>
              <w:ind w:left="0"/>
              <w:jc w:val="right"/>
              <w:rPr>
                <w:sz w:val="20"/>
                <w:szCs w:val="20"/>
              </w:rPr>
            </w:pPr>
            <w:r>
              <w:rPr>
                <w:rFonts w:ascii="Arial" w:hAnsi="Arial" w:cs="Arial"/>
                <w:sz w:val="20"/>
                <w:szCs w:val="20"/>
              </w:rPr>
              <w:t>Date:</w:t>
            </w:r>
            <w:r>
              <w:rPr>
                <w:rFonts w:ascii="Arial" w:hAnsi="Arial" w:cs="Arial"/>
                <w:sz w:val="20"/>
                <w:szCs w:val="20"/>
              </w:rPr>
              <w:fldChar w:fldCharType="begin"/>
            </w:r>
            <w:r>
              <w:rPr>
                <w:rFonts w:ascii="Arial" w:hAnsi="Arial" w:cs="Arial"/>
                <w:sz w:val="20"/>
                <w:szCs w:val="20"/>
              </w:rPr>
              <w:instrText>DOCPROPERTY ReleaseDate</w:instrText>
            </w:r>
            <w:r>
              <w:fldChar w:fldCharType="separate"/>
            </w:r>
            <w:r>
              <w:rPr>
                <w:rFonts w:ascii="Arial" w:hAnsi="Arial" w:cs="Arial"/>
                <w:sz w:val="20"/>
                <w:szCs w:val="20"/>
              </w:rPr>
              <w:t>2026-06-30</w:t>
            </w:r>
            <w:r>
              <w:fldChar w:fldCharType="end"/>
            </w:r>
          </w:p>
        </w:tc>
        <w:tc>
          <w:tcPr>
            <w:tcW w:w="794" w:type="dxa"/>
            <w:vAlign w:val="center"/>
          </w:tcPr>
          <w:p>
            <w:pPr>
              <w:jc w:val="right"/>
              <w:rPr>
                <w:sz w:val="20"/>
                <w:szCs w:val="20"/>
              </w:rPr>
            </w:pPr>
          </w:p>
        </w:tc>
      </w:tr>
      <w:tr>
        <w:tblPrEx>
          <w:tblW w:w="11908" w:type="dxa"/>
          <w:tblLayout w:type="fixed"/>
          <w:tblCellMar>
            <w:left w:w="0" w:type="dxa"/>
            <w:right w:w="0" w:type="dxa"/>
          </w:tblCellMar>
          <w:tblLook w:val="00BF"/>
        </w:tblPrEx>
        <w:trPr>
          <w:trHeight w:val="4184"/>
        </w:trPr>
        <w:tc>
          <w:tcPr>
            <w:tcW w:w="11908" w:type="dxa"/>
            <w:gridSpan w:val="3"/>
            <w:vAlign w:val="center"/>
          </w:tcPr>
          <w:p>
            <w:pPr>
              <w:spacing w:before="0" w:line="240" w:lineRule="auto"/>
              <w:ind w:left="0"/>
              <w:rPr>
                <w:sz w:val="20"/>
                <w:szCs w:val="20"/>
              </w:rPr>
            </w:pPr>
          </w:p>
        </w:tc>
      </w:tr>
      <w:tr>
        <w:tblPrEx>
          <w:tblW w:w="11908" w:type="dxa"/>
          <w:tblLayout w:type="fixed"/>
          <w:tblCellMar>
            <w:left w:w="0" w:type="dxa"/>
            <w:right w:w="0" w:type="dxa"/>
          </w:tblCellMar>
          <w:tblLook w:val="00BF"/>
        </w:tblPrEx>
        <w:trPr>
          <w:trHeight w:hRule="exact" w:val="227"/>
        </w:trPr>
        <w:tc>
          <w:tcPr>
            <w:tcW w:w="794" w:type="dxa"/>
            <w:vAlign w:val="center"/>
          </w:tcPr>
          <w:p>
            <w:pPr>
              <w:spacing w:before="0" w:line="240" w:lineRule="auto"/>
              <w:ind w:left="0"/>
              <w:rPr>
                <w:sz w:val="20"/>
                <w:szCs w:val="20"/>
              </w:rPr>
            </w:pPr>
          </w:p>
        </w:tc>
        <w:tc>
          <w:tcPr>
            <w:tcW w:w="11114" w:type="dxa"/>
            <w:gridSpan w:val="2"/>
            <w:vAlign w:val="center"/>
          </w:tcPr>
          <w:p>
            <w:pPr>
              <w:widowControl w:val="0"/>
              <w:autoSpaceDE w:val="0"/>
              <w:autoSpaceDN w:val="0"/>
              <w:spacing w:before="0" w:after="0" w:line="288" w:lineRule="auto"/>
              <w:ind w:left="0"/>
              <w:textAlignment w:val="center"/>
              <w:rPr>
                <w:rFonts w:ascii="Arial" w:eastAsia="AdobeSongStd-Light" w:hAnsi="Arial" w:cs="MyriadPro-Regular"/>
                <w:color w:val="7F7F7F"/>
                <w:sz w:val="19"/>
                <w:szCs w:val="20"/>
                <w:lang w:val="zh-CN"/>
              </w:rPr>
            </w:pPr>
            <w:r>
              <w:rPr>
                <w:rFonts w:ascii="Arial" w:eastAsia="AdobeSongStd-Light" w:hAnsi="Arial" w:cs="MyriadPro-Regular"/>
                <w:color w:val="7F7F7F"/>
                <w:sz w:val="19"/>
                <w:szCs w:val="20"/>
              </w:rPr>
              <w:t xml:space="preserve">Copyright © Copyright Holder. </w:t>
            </w:r>
            <w:r>
              <w:rPr>
                <w:rFonts w:ascii="Arial" w:eastAsia="AdobeSongStd-Light" w:hAnsi="Arial" w:cs="MyriadPro-Regular"/>
                <w:color w:val="7F7F7F"/>
                <w:sz w:val="19"/>
                <w:szCs w:val="20"/>
                <w:lang w:val="zh-CN"/>
              </w:rPr>
              <w:t xml:space="preserve"> All rights reserved.</w:t>
            </w:r>
          </w:p>
          <w:p>
            <w:pPr>
              <w:spacing w:before="0" w:line="240" w:lineRule="auto"/>
              <w:ind w:left="0"/>
              <w:rPr>
                <w:rFonts w:ascii="宋体" w:hAnsi="宋体" w:cs="宋体"/>
                <w:sz w:val="20"/>
                <w:szCs w:val="20"/>
              </w:rPr>
            </w:pPr>
          </w:p>
        </w:tc>
      </w:tr>
    </w:tbl>
    <w:p>
      <w:pPr>
        <w:pStyle w:val="TableText"/>
        <w:spacing w:before="0"/>
        <w:ind w:left="0"/>
        <w:rPr>
          <w:sz w:val="20"/>
          <w:szCs w:val="20"/>
        </w:rPr>
        <w:sectPr>
          <w:pgSz w:w="11900" w:h="16840"/>
          <w:pgMar w:top="794" w:right="0" w:bottom="0" w:left="0" w:header="0" w:footer="0" w:gutter="0"/>
          <w:cols w:space="708"/>
        </w:sectPr>
      </w:pPr>
    </w:p>
    <w:tbl>
      <w:tblPr>
        <w:tblW w:w="12872" w:type="dxa"/>
        <w:tblLayout w:type="fixed"/>
        <w:tblCellMar>
          <w:left w:w="0" w:type="dxa"/>
          <w:right w:w="0" w:type="dxa"/>
        </w:tblCellMar>
        <w:tblLook w:val="00BF"/>
      </w:tblPr>
      <w:tblGrid>
        <w:gridCol w:w="684"/>
        <w:gridCol w:w="8831"/>
        <w:gridCol w:w="743"/>
        <w:gridCol w:w="2614"/>
      </w:tblGrid>
      <w:tr>
        <w:tblPrEx>
          <w:tblW w:w="12872" w:type="dxa"/>
          <w:tblLayout w:type="fixed"/>
          <w:tblCellMar>
            <w:left w:w="0" w:type="dxa"/>
            <w:right w:w="0" w:type="dxa"/>
          </w:tblCellMar>
          <w:tblLook w:val="00BF"/>
        </w:tblPrEx>
        <w:trPr>
          <w:trHeight w:hRule="exact" w:val="369"/>
        </w:trPr>
        <w:tc>
          <w:tcPr>
            <w:tcW w:w="794" w:type="dxa"/>
            <w:vAlign w:val="center"/>
          </w:tcPr>
          <w:p>
            <w:pPr>
              <w:spacing w:before="0" w:line="240" w:lineRule="auto"/>
              <w:ind w:left="0"/>
              <w:rPr>
                <w:sz w:val="20"/>
                <w:szCs w:val="20"/>
              </w:rPr>
            </w:pPr>
          </w:p>
        </w:tc>
        <w:tc>
          <w:tcPr>
            <w:tcW w:w="11114" w:type="dxa"/>
            <w:gridSpan w:val="3"/>
            <w:vAlign w:val="center"/>
          </w:tcPr>
          <w:p>
            <w:pPr>
              <w:widowControl w:val="0"/>
              <w:autoSpaceDE w:val="0"/>
              <w:autoSpaceDN w:val="0"/>
              <w:spacing w:before="0" w:after="0" w:line="288" w:lineRule="auto"/>
              <w:ind w:left="0"/>
              <w:textAlignment w:val="center"/>
              <w:rPr>
                <w:rFonts w:ascii="Arial" w:eastAsia="AdobeSongStd-Light" w:hAnsi="Arial" w:cs="MyriadPro-Regular"/>
                <w:color w:val="000000"/>
                <w:sz w:val="36"/>
                <w:szCs w:val="36"/>
                <w:lang w:val="zh-CN"/>
              </w:rPr>
            </w:pPr>
          </w:p>
        </w:tc>
      </w:tr>
      <w:tr>
        <w:tblPrEx>
          <w:tblW w:w="12872" w:type="dxa"/>
          <w:tblLayout w:type="fixed"/>
          <w:tblCellMar>
            <w:left w:w="0" w:type="dxa"/>
            <w:right w:w="0" w:type="dxa"/>
          </w:tblCellMar>
          <w:tblLook w:val="00BF"/>
        </w:tblPrEx>
        <w:trPr>
          <w:trHeight w:val="561"/>
        </w:trPr>
        <w:tc>
          <w:tcPr>
            <w:tcW w:w="11908" w:type="dxa"/>
            <w:gridSpan w:val="4"/>
            <w:vAlign w:val="center"/>
          </w:tcPr>
          <w:p>
            <w:pPr>
              <w:spacing w:before="0" w:line="240" w:lineRule="auto"/>
              <w:ind w:left="0"/>
              <w:rPr>
                <w:sz w:val="20"/>
                <w:szCs w:val="20"/>
              </w:rPr>
            </w:pPr>
          </w:p>
        </w:tc>
      </w:tr>
      <w:tr>
        <w:tblPrEx>
          <w:tblW w:w="12872" w:type="dxa"/>
          <w:tblLayout w:type="fixed"/>
          <w:tblCellMar>
            <w:left w:w="0" w:type="dxa"/>
            <w:right w:w="0" w:type="dxa"/>
          </w:tblCellMar>
          <w:tblLook w:val="00BF"/>
        </w:tblPrEx>
        <w:trPr>
          <w:trHeight w:hRule="exact" w:val="340"/>
        </w:trPr>
        <w:tc>
          <w:tcPr>
            <w:tcW w:w="794" w:type="dxa"/>
          </w:tcPr>
          <w:p>
            <w:pPr>
              <w:spacing w:after="0" w:line="288" w:lineRule="auto"/>
              <w:jc w:val="both"/>
              <w:rPr>
                <w:rFonts w:ascii="Arial" w:hAnsi="Arial"/>
                <w:sz w:val="20"/>
                <w:szCs w:val="20"/>
              </w:rPr>
            </w:pPr>
          </w:p>
        </w:tc>
        <w:tc>
          <w:tcPr>
            <w:tcW w:w="10300" w:type="dxa"/>
          </w:tcPr>
          <w:p>
            <w:pPr>
              <w:widowControl w:val="0"/>
              <w:autoSpaceDE w:val="0"/>
              <w:autoSpaceDN w:val="0"/>
              <w:spacing w:before="0" w:after="0" w:line="288" w:lineRule="auto"/>
              <w:ind w:left="0"/>
              <w:textAlignment w:val="center"/>
              <w:rPr>
                <w:rFonts w:ascii="Arial" w:eastAsia="AdobeSongStd-Light" w:hAnsi="Arial" w:cs="MyriadPro-Semibold"/>
                <w:b/>
                <w:color w:val="000000"/>
                <w:sz w:val="20"/>
                <w:szCs w:val="20"/>
                <w:lang w:val="zh-CN"/>
              </w:rPr>
            </w:pPr>
            <w:r>
              <w:rPr>
                <w:rFonts w:ascii="Arial" w:eastAsia="AdobeSongStd-Light" w:hAnsi="Arial" w:cs="MyriadPro-Semibold"/>
                <w:b/>
                <w:color w:val="000000"/>
                <w:sz w:val="20"/>
                <w:szCs w:val="20"/>
                <w:lang w:val="zh-CN"/>
              </w:rPr>
              <w:t>Notice</w:t>
            </w:r>
          </w:p>
        </w:tc>
        <w:tc>
          <w:tcPr>
            <w:tcW w:w="3913" w:type="dxa"/>
            <w:gridSpan w:val="2"/>
          </w:tcPr>
          <w:p>
            <w:pPr>
              <w:spacing w:after="0" w:line="288" w:lineRule="auto"/>
              <w:jc w:val="both"/>
              <w:rPr>
                <w:rFonts w:ascii="Arial" w:hAnsi="Arial"/>
                <w:sz w:val="20"/>
                <w:szCs w:val="20"/>
              </w:rPr>
            </w:pPr>
          </w:p>
        </w:tc>
      </w:tr>
      <w:tr>
        <w:tblPrEx>
          <w:tblW w:w="12872" w:type="dxa"/>
          <w:tblLayout w:type="fixed"/>
          <w:tblCellMar>
            <w:left w:w="0" w:type="dxa"/>
            <w:right w:w="0" w:type="dxa"/>
          </w:tblCellMar>
          <w:tblLook w:val="00BF"/>
        </w:tblPrEx>
        <w:trPr>
          <w:gridAfter w:val="1"/>
          <w:wAfter w:w="964" w:type="dxa"/>
          <w:trHeight w:hRule="exact" w:val="2552"/>
        </w:trPr>
        <w:tc>
          <w:tcPr>
            <w:tcW w:w="794" w:type="dxa"/>
          </w:tcPr>
          <w:p>
            <w:pPr>
              <w:spacing w:after="0" w:line="288" w:lineRule="auto"/>
              <w:jc w:val="both"/>
              <w:rPr>
                <w:rFonts w:ascii="Arial" w:hAnsi="Arial"/>
                <w:sz w:val="20"/>
                <w:szCs w:val="20"/>
              </w:rPr>
            </w:pPr>
          </w:p>
        </w:tc>
        <w:tc>
          <w:tcPr>
            <w:tcW w:w="7201" w:type="dxa"/>
          </w:tcPr>
          <w:p>
            <w:pPr>
              <w:widowControl w:val="0"/>
              <w:autoSpaceDE w:val="0"/>
              <w:autoSpaceDN w:val="0"/>
              <w:spacing w:before="0" w:after="0" w:line="288" w:lineRule="auto"/>
              <w:ind w:left="0"/>
              <w:jc w:val="both"/>
              <w:textAlignment w:val="center"/>
              <w:rPr>
                <w:rFonts w:ascii="Arial" w:eastAsia="AdobeSongStd-Light" w:hAnsi="Arial" w:cs="HelveticaNeue-Light"/>
                <w:color w:val="000000"/>
                <w:sz w:val="18"/>
                <w:szCs w:val="18"/>
              </w:rPr>
            </w:pPr>
            <w:r>
              <w:rPr>
                <w:rFonts w:ascii="Arial" w:eastAsia="AdobeSongStd-Light" w:hAnsi="Arial" w:cs="HelveticaNeue-Light"/>
                <w:color w:val="000000"/>
                <w:sz w:val="18"/>
                <w:szCs w:val="18"/>
              </w:rPr>
              <w:t>The information in this document is subject to change without notice. Every effort has been made in the preparation of this document to ensure accuracy of the contents, but all statements, information, and recommendations in this document do not constitute the warranty of any kind, express or implied.</w:t>
            </w:r>
          </w:p>
        </w:tc>
        <w:tc>
          <w:tcPr>
            <w:tcW w:w="864" w:type="dxa"/>
            <w:vAlign w:val="bottom"/>
          </w:tcPr>
          <w:p>
            <w:pPr>
              <w:spacing w:after="0" w:line="288" w:lineRule="auto"/>
              <w:jc w:val="both"/>
              <w:rPr>
                <w:rFonts w:ascii="Arial" w:hAnsi="Arial"/>
                <w:sz w:val="20"/>
                <w:szCs w:val="20"/>
              </w:rPr>
            </w:pPr>
          </w:p>
        </w:tc>
      </w:tr>
    </w:tbl>
    <w:p>
      <w:pPr>
        <w:sectPr>
          <w:pgSz w:w="11900" w:h="16840"/>
          <w:pgMar w:top="794" w:right="0" w:bottom="0" w:left="0" w:header="0" w:footer="0" w:gutter="0"/>
          <w:cols w:space="708"/>
        </w:sectPr>
      </w:pPr>
    </w:p>
    <w:p>
      <w:pPr>
        <w:pStyle w:val="Contents"/>
      </w:pPr>
      <w:r>
        <w:t>Contents</w:t>
      </w:r>
    </w:p>
    <w:p>
      <w:pPr>
        <w:pStyle w:val="TOC1"/>
        <w:tabs>
          <w:tab w:val="right" w:leader="dot" w:pos="9629"/>
        </w:tabs>
        <w:rPr>
          <w:rFonts w:ascii="Calibri" w:hAnsi="Calibri"/>
          <w:noProof/>
          <w:sz w:val="22"/>
        </w:rPr>
      </w:pPr>
      <w:r>
        <w:fldChar w:fldCharType="begin"/>
      </w:r>
      <w:r>
        <w:instrText xml:space="preserve"> TOC \h \z \t "标题 1,1,标题 2,2,标题 3,3, 标题 4,4, 标题 5,5, 标题 7,1, 标题 8,2, 标题 9,3, Heading1 No Number,1,Appendix heading 1,1,Appendix heading 2,2,Appendix heading 3,3,Appendix heading 4,4,Appendix heading 5,5, Heading 1,1,Heading 2,2,Heading 3,3, Heading 4,4, Heading 5,5, Heading 7,1,Heading 8,2,Heading 9,3" </w:instrText>
      </w:r>
      <w:r>
        <w:fldChar w:fldCharType="separate"/>
      </w:r>
      <w:hyperlink w:anchor="_Toc256000000" w:history="1">
        <w:r>
          <w:rPr>
            <w:rStyle w:val="Hyperlink"/>
          </w:rPr>
          <w:t>1</w:t>
        </w:r>
        <w:r>
          <w:rPr>
            <w:rStyle w:val="Hyperlink"/>
          </w:rPr>
          <w:t xml:space="preserve"> </w:t>
        </w:r>
        <w:r>
          <w:rPr>
            <w:rStyle w:val="Hyperlink"/>
          </w:rPr>
          <w:t>Purpose</w:t>
        </w:r>
        <w:r>
          <w:tab/>
        </w:r>
        <w:r>
          <w:fldChar w:fldCharType="begin"/>
        </w:r>
        <w:r>
          <w:instrText xml:space="preserve"> PAGEREF _Toc256000000 \h </w:instrText>
        </w:r>
        <w:r>
          <w:fldChar w:fldCharType="separate"/>
        </w:r>
        <w:r>
          <w:t>1-1</w:t>
        </w:r>
        <w:r>
          <w:fldChar w:fldCharType="end"/>
        </w:r>
      </w:hyperlink>
    </w:p>
    <w:p>
      <w:pPr>
        <w:pStyle w:val="TOC1"/>
        <w:tabs>
          <w:tab w:val="right" w:leader="dot" w:pos="9629"/>
        </w:tabs>
        <w:rPr>
          <w:rFonts w:ascii="Calibri" w:hAnsi="Calibri"/>
          <w:noProof/>
          <w:sz w:val="22"/>
        </w:rPr>
      </w:pPr>
      <w:hyperlink w:anchor="_Toc256000001" w:history="1">
        <w:r>
          <w:rPr>
            <w:rStyle w:val="Hyperlink"/>
          </w:rPr>
          <w:t>2</w:t>
        </w:r>
        <w:r>
          <w:rPr>
            <w:rStyle w:val="Hyperlink"/>
          </w:rPr>
          <w:t xml:space="preserve"> </w:t>
        </w:r>
        <w:r>
          <w:rPr>
            <w:rStyle w:val="Hyperlink"/>
          </w:rPr>
          <w:t>Construction Standards</w:t>
        </w:r>
        <w:r>
          <w:tab/>
        </w:r>
        <w:r>
          <w:fldChar w:fldCharType="begin"/>
        </w:r>
        <w:r>
          <w:instrText xml:space="preserve"> PAGEREF _Toc256000001 \h </w:instrText>
        </w:r>
        <w:r>
          <w:fldChar w:fldCharType="separate"/>
        </w:r>
        <w:r>
          <w:t>2-1</w:t>
        </w:r>
        <w:r>
          <w:fldChar w:fldCharType="end"/>
        </w:r>
      </w:hyperlink>
    </w:p>
    <w:p>
      <w:pPr>
        <w:pStyle w:val="TOC2"/>
        <w:tabs>
          <w:tab w:val="right" w:leader="dot" w:pos="9629"/>
        </w:tabs>
        <w:rPr>
          <w:rFonts w:ascii="Calibri" w:hAnsi="Calibri"/>
          <w:noProof/>
          <w:sz w:val="22"/>
        </w:rPr>
      </w:pPr>
      <w:hyperlink w:anchor="_Toc256000002" w:history="1">
        <w:r>
          <w:rPr>
            <w:rStyle w:val="Hyperlink"/>
            <w:snapToGrid w:val="0"/>
          </w:rPr>
          <w:t>2.1</w:t>
        </w:r>
        <w:r>
          <w:rPr>
            <w:rStyle w:val="Hyperlink"/>
            <w:snapToGrid w:val="0"/>
          </w:rPr>
          <w:t xml:space="preserve"> </w:t>
        </w:r>
        <w:r>
          <w:rPr>
            <w:rStyle w:val="Hyperlink"/>
          </w:rPr>
          <w:t>Basic Device Information</w:t>
        </w:r>
        <w:r>
          <w:tab/>
        </w:r>
        <w:r>
          <w:fldChar w:fldCharType="begin"/>
        </w:r>
        <w:r>
          <w:instrText xml:space="preserve"> PAGEREF _Toc256000002 \h </w:instrText>
        </w:r>
        <w:r>
          <w:fldChar w:fldCharType="separate"/>
        </w:r>
        <w:r>
          <w:t>2-1</w:t>
        </w:r>
        <w:r>
          <w:fldChar w:fldCharType="end"/>
        </w:r>
      </w:hyperlink>
    </w:p>
    <w:p>
      <w:pPr>
        <w:pStyle w:val="TOC3"/>
        <w:tabs>
          <w:tab w:val="right" w:leader="dot" w:pos="9629"/>
        </w:tabs>
        <w:rPr>
          <w:rFonts w:ascii="Calibri" w:hAnsi="Calibri"/>
          <w:noProof/>
          <w:sz w:val="22"/>
        </w:rPr>
      </w:pPr>
      <w:hyperlink w:anchor="_Toc256000003" w:history="1">
        <w:r>
          <w:rPr>
            <w:rStyle w:val="Hyperlink"/>
            <w:rFonts w:cs="Book Antiqua"/>
            <w:bCs/>
            <w:snapToGrid w:val="0"/>
          </w:rPr>
          <w:t>2.1.1</w:t>
        </w:r>
        <w:r>
          <w:rPr>
            <w:rStyle w:val="Hyperlink"/>
            <w:rFonts w:cs="Book Antiqua"/>
            <w:bCs/>
            <w:snapToGrid w:val="0"/>
          </w:rPr>
          <w:t xml:space="preserve"> </w:t>
        </w:r>
        <w:r>
          <w:rPr>
            <w:rStyle w:val="Hyperlink"/>
          </w:rPr>
          <w:t>Single-Row Telepresence Device</w:t>
        </w:r>
        <w:r>
          <w:tab/>
        </w:r>
        <w:r>
          <w:fldChar w:fldCharType="begin"/>
        </w:r>
        <w:r>
          <w:instrText xml:space="preserve"> PAGEREF _Toc256000003 \h </w:instrText>
        </w:r>
        <w:r>
          <w:fldChar w:fldCharType="separate"/>
        </w:r>
        <w:r>
          <w:t>2-1</w:t>
        </w:r>
        <w:r>
          <w:fldChar w:fldCharType="end"/>
        </w:r>
      </w:hyperlink>
    </w:p>
    <w:p>
      <w:pPr>
        <w:pStyle w:val="TOC3"/>
        <w:tabs>
          <w:tab w:val="right" w:leader="dot" w:pos="9629"/>
        </w:tabs>
        <w:rPr>
          <w:rFonts w:ascii="Calibri" w:hAnsi="Calibri"/>
          <w:noProof/>
          <w:sz w:val="22"/>
        </w:rPr>
      </w:pPr>
      <w:hyperlink w:anchor="_Toc256000004" w:history="1">
        <w:r>
          <w:rPr>
            <w:rStyle w:val="Hyperlink"/>
            <w:rFonts w:cs="Book Antiqua"/>
            <w:bCs/>
            <w:snapToGrid w:val="0"/>
          </w:rPr>
          <w:t>2.1.2</w:t>
        </w:r>
        <w:r>
          <w:rPr>
            <w:rStyle w:val="Hyperlink"/>
            <w:rFonts w:cs="Book Antiqua"/>
            <w:bCs/>
            <w:snapToGrid w:val="0"/>
          </w:rPr>
          <w:t xml:space="preserve"> </w:t>
        </w:r>
        <w:r>
          <w:rPr>
            <w:rStyle w:val="Hyperlink"/>
          </w:rPr>
          <w:t>Dual-Row Telepresence Device</w:t>
        </w:r>
        <w:r>
          <w:tab/>
        </w:r>
        <w:r>
          <w:fldChar w:fldCharType="begin"/>
        </w:r>
        <w:r>
          <w:instrText xml:space="preserve"> PAGEREF _Toc256000004 \h </w:instrText>
        </w:r>
        <w:r>
          <w:fldChar w:fldCharType="separate"/>
        </w:r>
        <w:r>
          <w:t>2-2</w:t>
        </w:r>
        <w:r>
          <w:fldChar w:fldCharType="end"/>
        </w:r>
      </w:hyperlink>
    </w:p>
    <w:p>
      <w:pPr>
        <w:pStyle w:val="TOC2"/>
        <w:tabs>
          <w:tab w:val="right" w:leader="dot" w:pos="9629"/>
        </w:tabs>
        <w:rPr>
          <w:rFonts w:ascii="Calibri" w:hAnsi="Calibri"/>
          <w:noProof/>
          <w:sz w:val="22"/>
        </w:rPr>
      </w:pPr>
      <w:hyperlink w:anchor="_Toc256000005" w:history="1">
        <w:r>
          <w:rPr>
            <w:rStyle w:val="Hyperlink"/>
            <w:snapToGrid w:val="0"/>
          </w:rPr>
          <w:t>2.2</w:t>
        </w:r>
        <w:r>
          <w:rPr>
            <w:rStyle w:val="Hyperlink"/>
            <w:snapToGrid w:val="0"/>
          </w:rPr>
          <w:t xml:space="preserve"> </w:t>
        </w:r>
        <w:r>
          <w:rPr>
            <w:rStyle w:val="Hyperlink"/>
          </w:rPr>
          <w:t>Space Standards</w:t>
        </w:r>
        <w:r>
          <w:tab/>
        </w:r>
        <w:r>
          <w:fldChar w:fldCharType="begin"/>
        </w:r>
        <w:r>
          <w:instrText xml:space="preserve"> PAGEREF _Toc256000005 \h </w:instrText>
        </w:r>
        <w:r>
          <w:fldChar w:fldCharType="separate"/>
        </w:r>
        <w:r>
          <w:t>2-2</w:t>
        </w:r>
        <w:r>
          <w:fldChar w:fldCharType="end"/>
        </w:r>
      </w:hyperlink>
    </w:p>
    <w:p>
      <w:pPr>
        <w:pStyle w:val="TOC3"/>
        <w:tabs>
          <w:tab w:val="right" w:leader="dot" w:pos="9629"/>
        </w:tabs>
        <w:rPr>
          <w:rFonts w:ascii="Calibri" w:hAnsi="Calibri"/>
          <w:noProof/>
          <w:sz w:val="22"/>
        </w:rPr>
      </w:pPr>
      <w:hyperlink w:anchor="_Toc256000006" w:history="1">
        <w:r>
          <w:rPr>
            <w:rStyle w:val="Hyperlink"/>
            <w:rFonts w:cs="Book Antiqua"/>
            <w:bCs/>
            <w:snapToGrid w:val="0"/>
          </w:rPr>
          <w:t>2.2.1</w:t>
        </w:r>
        <w:r>
          <w:rPr>
            <w:rStyle w:val="Hyperlink"/>
            <w:rFonts w:cs="Book Antiqua"/>
            <w:bCs/>
            <w:snapToGrid w:val="0"/>
          </w:rPr>
          <w:t xml:space="preserve"> </w:t>
        </w:r>
        <w:r>
          <w:rPr>
            <w:rStyle w:val="Hyperlink"/>
          </w:rPr>
          <w:t>Standard Room Dimensions</w:t>
        </w:r>
        <w:r>
          <w:tab/>
        </w:r>
        <w:r>
          <w:fldChar w:fldCharType="begin"/>
        </w:r>
        <w:r>
          <w:instrText xml:space="preserve"> PAGEREF _Toc256000006 \h </w:instrText>
        </w:r>
        <w:r>
          <w:fldChar w:fldCharType="separate"/>
        </w:r>
        <w:r>
          <w:t>2-2</w:t>
        </w:r>
        <w:r>
          <w:fldChar w:fldCharType="end"/>
        </w:r>
      </w:hyperlink>
    </w:p>
    <w:p>
      <w:pPr>
        <w:pStyle w:val="TOC4"/>
        <w:tabs>
          <w:tab w:val="right" w:leader="dot" w:pos="9629"/>
        </w:tabs>
        <w:rPr>
          <w:rFonts w:ascii="Calibri" w:hAnsi="Calibri"/>
          <w:noProof/>
          <w:sz w:val="22"/>
        </w:rPr>
      </w:pPr>
      <w:hyperlink w:anchor="_Toc256000007" w:history="1">
        <w:r>
          <w:rPr>
            <w:rStyle w:val="Hyperlink"/>
            <w:rFonts w:cs="Book Antiqua"/>
            <w:bCs/>
          </w:rPr>
          <w:t>2.2.1.1</w:t>
        </w:r>
        <w:r>
          <w:rPr>
            <w:rStyle w:val="Hyperlink"/>
            <w:rFonts w:cs="Book Antiqua"/>
            <w:bCs/>
          </w:rPr>
          <w:t xml:space="preserve"> </w:t>
        </w:r>
        <w:r>
          <w:rPr>
            <w:rStyle w:val="Hyperlink"/>
          </w:rPr>
          <w:t>Single-Row Telepresence Room</w:t>
        </w:r>
        <w:r>
          <w:tab/>
        </w:r>
        <w:r>
          <w:fldChar w:fldCharType="begin"/>
        </w:r>
        <w:r>
          <w:instrText xml:space="preserve"> PAGEREF _Toc256000007 \h </w:instrText>
        </w:r>
        <w:r>
          <w:fldChar w:fldCharType="separate"/>
        </w:r>
        <w:r>
          <w:t>2-2</w:t>
        </w:r>
        <w:r>
          <w:fldChar w:fldCharType="end"/>
        </w:r>
      </w:hyperlink>
    </w:p>
    <w:p>
      <w:pPr>
        <w:pStyle w:val="TOC4"/>
        <w:tabs>
          <w:tab w:val="right" w:leader="dot" w:pos="9629"/>
        </w:tabs>
        <w:rPr>
          <w:rFonts w:ascii="Calibri" w:hAnsi="Calibri"/>
          <w:noProof/>
          <w:sz w:val="22"/>
        </w:rPr>
      </w:pPr>
      <w:hyperlink w:anchor="_Toc256000008" w:history="1">
        <w:r>
          <w:rPr>
            <w:rStyle w:val="Hyperlink"/>
            <w:rFonts w:cs="Book Antiqua"/>
            <w:bCs/>
          </w:rPr>
          <w:t>2.2.1.2</w:t>
        </w:r>
        <w:r>
          <w:rPr>
            <w:rStyle w:val="Hyperlink"/>
            <w:rFonts w:cs="Book Antiqua"/>
            <w:bCs/>
          </w:rPr>
          <w:t xml:space="preserve"> </w:t>
        </w:r>
        <w:r>
          <w:rPr>
            <w:rStyle w:val="Hyperlink"/>
          </w:rPr>
          <w:t>Dual-Row Telepresence Room</w:t>
        </w:r>
        <w:r>
          <w:tab/>
        </w:r>
        <w:r>
          <w:fldChar w:fldCharType="begin"/>
        </w:r>
        <w:r>
          <w:instrText xml:space="preserve"> PAGEREF _Toc256000008 \h </w:instrText>
        </w:r>
        <w:r>
          <w:fldChar w:fldCharType="separate"/>
        </w:r>
        <w:r>
          <w:t>2-3</w:t>
        </w:r>
        <w:r>
          <w:fldChar w:fldCharType="end"/>
        </w:r>
      </w:hyperlink>
    </w:p>
    <w:p>
      <w:pPr>
        <w:pStyle w:val="TOC2"/>
        <w:tabs>
          <w:tab w:val="right" w:leader="dot" w:pos="9629"/>
        </w:tabs>
        <w:rPr>
          <w:rFonts w:ascii="Calibri" w:hAnsi="Calibri"/>
          <w:noProof/>
          <w:sz w:val="22"/>
        </w:rPr>
      </w:pPr>
      <w:hyperlink w:anchor="_Toc256000009" w:history="1">
        <w:r>
          <w:rPr>
            <w:rStyle w:val="Hyperlink"/>
            <w:snapToGrid w:val="0"/>
          </w:rPr>
          <w:t>2.3</w:t>
        </w:r>
        <w:r>
          <w:rPr>
            <w:rStyle w:val="Hyperlink"/>
            <w:snapToGrid w:val="0"/>
          </w:rPr>
          <w:t xml:space="preserve"> </w:t>
        </w:r>
        <w:r>
          <w:rPr>
            <w:rStyle w:val="Hyperlink"/>
          </w:rPr>
          <w:t>Illumination Design</w:t>
        </w:r>
        <w:r>
          <w:tab/>
        </w:r>
        <w:r>
          <w:fldChar w:fldCharType="begin"/>
        </w:r>
        <w:r>
          <w:instrText xml:space="preserve"> PAGEREF _Toc256000009 \h </w:instrText>
        </w:r>
        <w:r>
          <w:fldChar w:fldCharType="separate"/>
        </w:r>
        <w:r>
          <w:t>2-4</w:t>
        </w:r>
        <w:r>
          <w:fldChar w:fldCharType="end"/>
        </w:r>
      </w:hyperlink>
    </w:p>
    <w:p>
      <w:pPr>
        <w:pStyle w:val="TOC3"/>
        <w:tabs>
          <w:tab w:val="right" w:leader="dot" w:pos="9629"/>
        </w:tabs>
        <w:rPr>
          <w:rFonts w:ascii="Calibri" w:hAnsi="Calibri"/>
          <w:noProof/>
          <w:sz w:val="22"/>
        </w:rPr>
      </w:pPr>
      <w:hyperlink w:anchor="_Toc256000010" w:history="1">
        <w:r>
          <w:rPr>
            <w:rStyle w:val="Hyperlink"/>
            <w:rFonts w:cs="Book Antiqua"/>
            <w:bCs/>
            <w:snapToGrid w:val="0"/>
          </w:rPr>
          <w:t>2.3.1</w:t>
        </w:r>
        <w:r>
          <w:rPr>
            <w:rStyle w:val="Hyperlink"/>
            <w:rFonts w:cs="Book Antiqua"/>
            <w:bCs/>
            <w:snapToGrid w:val="0"/>
          </w:rPr>
          <w:t xml:space="preserve"> </w:t>
        </w:r>
        <w:r>
          <w:rPr>
            <w:rStyle w:val="Hyperlink"/>
          </w:rPr>
          <w:t>Color Temperature and CRI</w:t>
        </w:r>
        <w:r>
          <w:tab/>
        </w:r>
        <w:r>
          <w:fldChar w:fldCharType="begin"/>
        </w:r>
        <w:r>
          <w:instrText xml:space="preserve"> PAGEREF _Toc256000010 \h </w:instrText>
        </w:r>
        <w:r>
          <w:fldChar w:fldCharType="separate"/>
        </w:r>
        <w:r>
          <w:t>2-5</w:t>
        </w:r>
        <w:r>
          <w:fldChar w:fldCharType="end"/>
        </w:r>
      </w:hyperlink>
    </w:p>
    <w:p>
      <w:pPr>
        <w:pStyle w:val="TOC3"/>
        <w:tabs>
          <w:tab w:val="right" w:leader="dot" w:pos="9629"/>
        </w:tabs>
        <w:rPr>
          <w:rFonts w:ascii="Calibri" w:hAnsi="Calibri"/>
          <w:noProof/>
          <w:sz w:val="22"/>
        </w:rPr>
      </w:pPr>
      <w:hyperlink w:anchor="_Toc256000011" w:history="1">
        <w:r>
          <w:rPr>
            <w:rStyle w:val="Hyperlink"/>
            <w:rFonts w:cs="Book Antiqua"/>
            <w:bCs/>
            <w:snapToGrid w:val="0"/>
          </w:rPr>
          <w:t>2.3.2</w:t>
        </w:r>
        <w:r>
          <w:rPr>
            <w:rStyle w:val="Hyperlink"/>
            <w:rFonts w:cs="Book Antiqua"/>
            <w:bCs/>
            <w:snapToGrid w:val="0"/>
          </w:rPr>
          <w:t xml:space="preserve"> </w:t>
        </w:r>
        <w:r>
          <w:rPr>
            <w:rStyle w:val="Hyperlink"/>
          </w:rPr>
          <w:t>Illuminance Distribution</w:t>
        </w:r>
        <w:r>
          <w:tab/>
        </w:r>
        <w:r>
          <w:fldChar w:fldCharType="begin"/>
        </w:r>
        <w:r>
          <w:instrText xml:space="preserve"> PAGEREF _Toc256000011 \h </w:instrText>
        </w:r>
        <w:r>
          <w:fldChar w:fldCharType="separate"/>
        </w:r>
        <w:r>
          <w:t>2-5</w:t>
        </w:r>
        <w:r>
          <w:fldChar w:fldCharType="end"/>
        </w:r>
      </w:hyperlink>
    </w:p>
    <w:p>
      <w:pPr>
        <w:pStyle w:val="TOC3"/>
        <w:tabs>
          <w:tab w:val="right" w:leader="dot" w:pos="9629"/>
        </w:tabs>
        <w:rPr>
          <w:rFonts w:ascii="Calibri" w:hAnsi="Calibri"/>
          <w:noProof/>
          <w:sz w:val="22"/>
        </w:rPr>
      </w:pPr>
      <w:hyperlink w:anchor="_Toc256000012" w:history="1">
        <w:r>
          <w:rPr>
            <w:rStyle w:val="Hyperlink"/>
            <w:rFonts w:cs="Book Antiqua"/>
            <w:bCs/>
            <w:snapToGrid w:val="0"/>
          </w:rPr>
          <w:t>2.3.3</w:t>
        </w:r>
        <w:r>
          <w:rPr>
            <w:rStyle w:val="Hyperlink"/>
            <w:rFonts w:cs="Book Antiqua"/>
            <w:bCs/>
            <w:snapToGrid w:val="0"/>
          </w:rPr>
          <w:t xml:space="preserve"> </w:t>
        </w:r>
        <w:r>
          <w:rPr>
            <w:rStyle w:val="Hyperlink"/>
          </w:rPr>
          <w:t>Glare Control</w:t>
        </w:r>
        <w:r>
          <w:tab/>
        </w:r>
        <w:r>
          <w:fldChar w:fldCharType="begin"/>
        </w:r>
        <w:r>
          <w:instrText xml:space="preserve"> PAGEREF _Toc256000012 \h </w:instrText>
        </w:r>
        <w:r>
          <w:fldChar w:fldCharType="separate"/>
        </w:r>
        <w:r>
          <w:t>2-6</w:t>
        </w:r>
        <w:r>
          <w:fldChar w:fldCharType="end"/>
        </w:r>
      </w:hyperlink>
    </w:p>
    <w:p>
      <w:pPr>
        <w:pStyle w:val="TOC2"/>
        <w:tabs>
          <w:tab w:val="right" w:leader="dot" w:pos="9629"/>
        </w:tabs>
        <w:rPr>
          <w:rFonts w:ascii="Calibri" w:hAnsi="Calibri"/>
          <w:noProof/>
          <w:sz w:val="22"/>
        </w:rPr>
      </w:pPr>
      <w:hyperlink w:anchor="_Toc256000013" w:history="1">
        <w:r>
          <w:rPr>
            <w:rStyle w:val="Hyperlink"/>
            <w:snapToGrid w:val="0"/>
          </w:rPr>
          <w:t>2.4</w:t>
        </w:r>
        <w:r>
          <w:rPr>
            <w:rStyle w:val="Hyperlink"/>
            <w:snapToGrid w:val="0"/>
          </w:rPr>
          <w:t xml:space="preserve"> </w:t>
        </w:r>
        <w:r>
          <w:rPr>
            <w:rStyle w:val="Hyperlink"/>
          </w:rPr>
          <w:t>Acoustics Design</w:t>
        </w:r>
        <w:r>
          <w:tab/>
        </w:r>
        <w:r>
          <w:fldChar w:fldCharType="begin"/>
        </w:r>
        <w:r>
          <w:instrText xml:space="preserve"> PAGEREF _Toc256000013 \h </w:instrText>
        </w:r>
        <w:r>
          <w:fldChar w:fldCharType="separate"/>
        </w:r>
        <w:r>
          <w:t>2-7</w:t>
        </w:r>
        <w:r>
          <w:fldChar w:fldCharType="end"/>
        </w:r>
      </w:hyperlink>
    </w:p>
    <w:p>
      <w:pPr>
        <w:pStyle w:val="TOC3"/>
        <w:tabs>
          <w:tab w:val="right" w:leader="dot" w:pos="9629"/>
        </w:tabs>
        <w:rPr>
          <w:rFonts w:ascii="Calibri" w:hAnsi="Calibri"/>
          <w:noProof/>
          <w:sz w:val="22"/>
        </w:rPr>
      </w:pPr>
      <w:hyperlink w:anchor="_Toc256000014" w:history="1">
        <w:r>
          <w:rPr>
            <w:rStyle w:val="Hyperlink"/>
            <w:rFonts w:cs="Book Antiqua"/>
            <w:bCs/>
            <w:snapToGrid w:val="0"/>
          </w:rPr>
          <w:t>2.4.1</w:t>
        </w:r>
        <w:r>
          <w:rPr>
            <w:rStyle w:val="Hyperlink"/>
            <w:rFonts w:cs="Book Antiqua"/>
            <w:bCs/>
            <w:snapToGrid w:val="0"/>
          </w:rPr>
          <w:t xml:space="preserve"> </w:t>
        </w:r>
        <w:r>
          <w:rPr>
            <w:rStyle w:val="Hyperlink"/>
          </w:rPr>
          <w:t>Sound Absorption</w:t>
        </w:r>
        <w:r>
          <w:tab/>
        </w:r>
        <w:r>
          <w:fldChar w:fldCharType="begin"/>
        </w:r>
        <w:r>
          <w:instrText xml:space="preserve"> PAGEREF _Toc256000014 \h </w:instrText>
        </w:r>
        <w:r>
          <w:fldChar w:fldCharType="separate"/>
        </w:r>
        <w:r>
          <w:t>2-7</w:t>
        </w:r>
        <w:r>
          <w:fldChar w:fldCharType="end"/>
        </w:r>
      </w:hyperlink>
    </w:p>
    <w:p>
      <w:pPr>
        <w:pStyle w:val="TOC3"/>
        <w:tabs>
          <w:tab w:val="right" w:leader="dot" w:pos="9629"/>
        </w:tabs>
        <w:rPr>
          <w:rFonts w:ascii="Calibri" w:hAnsi="Calibri"/>
          <w:noProof/>
          <w:sz w:val="22"/>
        </w:rPr>
      </w:pPr>
      <w:hyperlink w:anchor="_Toc256000015" w:history="1">
        <w:r>
          <w:rPr>
            <w:rStyle w:val="Hyperlink"/>
            <w:rFonts w:cs="Book Antiqua"/>
            <w:bCs/>
            <w:snapToGrid w:val="0"/>
          </w:rPr>
          <w:t>2.4.2</w:t>
        </w:r>
        <w:r>
          <w:rPr>
            <w:rStyle w:val="Hyperlink"/>
            <w:rFonts w:cs="Book Antiqua"/>
            <w:bCs/>
            <w:snapToGrid w:val="0"/>
          </w:rPr>
          <w:t xml:space="preserve"> </w:t>
        </w:r>
        <w:r>
          <w:rPr>
            <w:rStyle w:val="Hyperlink"/>
          </w:rPr>
          <w:t>Noise Control</w:t>
        </w:r>
        <w:r>
          <w:tab/>
        </w:r>
        <w:r>
          <w:fldChar w:fldCharType="begin"/>
        </w:r>
        <w:r>
          <w:instrText xml:space="preserve"> PAGEREF _Toc256000015 \h </w:instrText>
        </w:r>
        <w:r>
          <w:fldChar w:fldCharType="separate"/>
        </w:r>
        <w:r>
          <w:t>2-10</w:t>
        </w:r>
        <w:r>
          <w:fldChar w:fldCharType="end"/>
        </w:r>
      </w:hyperlink>
    </w:p>
    <w:p>
      <w:pPr>
        <w:pStyle w:val="TOC2"/>
        <w:tabs>
          <w:tab w:val="right" w:leader="dot" w:pos="9629"/>
        </w:tabs>
        <w:rPr>
          <w:rFonts w:ascii="Calibri" w:hAnsi="Calibri"/>
          <w:noProof/>
          <w:sz w:val="22"/>
        </w:rPr>
      </w:pPr>
      <w:hyperlink w:anchor="_Toc256000016" w:history="1">
        <w:r>
          <w:rPr>
            <w:rStyle w:val="Hyperlink"/>
            <w:snapToGrid w:val="0"/>
          </w:rPr>
          <w:t>2.5</w:t>
        </w:r>
        <w:r>
          <w:rPr>
            <w:rStyle w:val="Hyperlink"/>
            <w:snapToGrid w:val="0"/>
          </w:rPr>
          <w:t xml:space="preserve"> </w:t>
        </w:r>
        <w:r>
          <w:rPr>
            <w:rStyle w:val="Hyperlink"/>
          </w:rPr>
          <w:t>Ceiling Transformation</w:t>
        </w:r>
        <w:r>
          <w:tab/>
        </w:r>
        <w:r>
          <w:fldChar w:fldCharType="begin"/>
        </w:r>
        <w:r>
          <w:instrText xml:space="preserve"> PAGEREF _Toc256000016 \h </w:instrText>
        </w:r>
        <w:r>
          <w:fldChar w:fldCharType="separate"/>
        </w:r>
        <w:r>
          <w:t>2-11</w:t>
        </w:r>
        <w:r>
          <w:fldChar w:fldCharType="end"/>
        </w:r>
      </w:hyperlink>
    </w:p>
    <w:p>
      <w:pPr>
        <w:pStyle w:val="TOC2"/>
        <w:tabs>
          <w:tab w:val="right" w:leader="dot" w:pos="9629"/>
        </w:tabs>
        <w:rPr>
          <w:rFonts w:ascii="Calibri" w:hAnsi="Calibri"/>
          <w:noProof/>
          <w:sz w:val="22"/>
        </w:rPr>
      </w:pPr>
      <w:hyperlink w:anchor="_Toc256000017" w:history="1">
        <w:r>
          <w:rPr>
            <w:rStyle w:val="Hyperlink"/>
            <w:snapToGrid w:val="0"/>
          </w:rPr>
          <w:t>2.6</w:t>
        </w:r>
        <w:r>
          <w:rPr>
            <w:rStyle w:val="Hyperlink"/>
            <w:snapToGrid w:val="0"/>
          </w:rPr>
          <w:t xml:space="preserve"> </w:t>
        </w:r>
        <w:r>
          <w:rPr>
            <w:rStyle w:val="Hyperlink"/>
          </w:rPr>
          <w:t>Wall Reconstruction</w:t>
        </w:r>
        <w:r>
          <w:tab/>
        </w:r>
        <w:r>
          <w:fldChar w:fldCharType="begin"/>
        </w:r>
        <w:r>
          <w:instrText xml:space="preserve"> PAGEREF _Toc256000017 \h </w:instrText>
        </w:r>
        <w:r>
          <w:fldChar w:fldCharType="separate"/>
        </w:r>
        <w:r>
          <w:t>2-12</w:t>
        </w:r>
        <w:r>
          <w:fldChar w:fldCharType="end"/>
        </w:r>
      </w:hyperlink>
    </w:p>
    <w:p>
      <w:pPr>
        <w:pStyle w:val="TOC3"/>
        <w:tabs>
          <w:tab w:val="right" w:leader="dot" w:pos="9629"/>
        </w:tabs>
        <w:rPr>
          <w:rFonts w:ascii="Calibri" w:hAnsi="Calibri"/>
          <w:noProof/>
          <w:sz w:val="22"/>
        </w:rPr>
      </w:pPr>
      <w:hyperlink w:anchor="_Toc256000018" w:history="1">
        <w:r>
          <w:rPr>
            <w:rStyle w:val="Hyperlink"/>
            <w:rFonts w:cs="Book Antiqua"/>
            <w:bCs/>
            <w:snapToGrid w:val="0"/>
          </w:rPr>
          <w:t>2.6.1</w:t>
        </w:r>
        <w:r>
          <w:rPr>
            <w:rStyle w:val="Hyperlink"/>
            <w:rFonts w:cs="Book Antiqua"/>
            <w:bCs/>
            <w:snapToGrid w:val="0"/>
          </w:rPr>
          <w:t xml:space="preserve"> </w:t>
        </w:r>
        <w:r>
          <w:rPr>
            <w:rStyle w:val="Hyperlink"/>
          </w:rPr>
          <w:t>Wall Color</w:t>
        </w:r>
        <w:r>
          <w:tab/>
        </w:r>
        <w:r>
          <w:fldChar w:fldCharType="begin"/>
        </w:r>
        <w:r>
          <w:instrText xml:space="preserve"> PAGEREF _Toc256000018 \h </w:instrText>
        </w:r>
        <w:r>
          <w:fldChar w:fldCharType="separate"/>
        </w:r>
        <w:r>
          <w:t>2-12</w:t>
        </w:r>
        <w:r>
          <w:fldChar w:fldCharType="end"/>
        </w:r>
      </w:hyperlink>
    </w:p>
    <w:p>
      <w:pPr>
        <w:pStyle w:val="TOC3"/>
        <w:tabs>
          <w:tab w:val="right" w:leader="dot" w:pos="9629"/>
        </w:tabs>
        <w:rPr>
          <w:rFonts w:ascii="Calibri" w:hAnsi="Calibri"/>
          <w:noProof/>
          <w:sz w:val="22"/>
        </w:rPr>
      </w:pPr>
      <w:hyperlink w:anchor="_Toc256000019" w:history="1">
        <w:r>
          <w:rPr>
            <w:rStyle w:val="Hyperlink"/>
            <w:rFonts w:cs="Book Antiqua"/>
            <w:bCs/>
            <w:snapToGrid w:val="0"/>
          </w:rPr>
          <w:t>2.6.2</w:t>
        </w:r>
        <w:r>
          <w:rPr>
            <w:rStyle w:val="Hyperlink"/>
            <w:rFonts w:cs="Book Antiqua"/>
            <w:bCs/>
            <w:snapToGrid w:val="0"/>
          </w:rPr>
          <w:t xml:space="preserve"> </w:t>
        </w:r>
        <w:r>
          <w:rPr>
            <w:rStyle w:val="Hyperlink"/>
          </w:rPr>
          <w:t>Fabric Wall Panels</w:t>
        </w:r>
        <w:r>
          <w:tab/>
        </w:r>
        <w:r>
          <w:fldChar w:fldCharType="begin"/>
        </w:r>
        <w:r>
          <w:instrText xml:space="preserve"> PAGEREF _Toc256000019 \h </w:instrText>
        </w:r>
        <w:r>
          <w:fldChar w:fldCharType="separate"/>
        </w:r>
        <w:r>
          <w:t>2-12</w:t>
        </w:r>
        <w:r>
          <w:fldChar w:fldCharType="end"/>
        </w:r>
      </w:hyperlink>
    </w:p>
    <w:p>
      <w:pPr>
        <w:pStyle w:val="TOC3"/>
        <w:tabs>
          <w:tab w:val="right" w:leader="dot" w:pos="9629"/>
        </w:tabs>
        <w:rPr>
          <w:rFonts w:ascii="Calibri" w:hAnsi="Calibri"/>
          <w:noProof/>
          <w:sz w:val="22"/>
        </w:rPr>
      </w:pPr>
      <w:hyperlink w:anchor="_Toc256000020" w:history="1">
        <w:r>
          <w:rPr>
            <w:rStyle w:val="Hyperlink"/>
            <w:rFonts w:cs="Book Antiqua"/>
            <w:bCs/>
            <w:snapToGrid w:val="0"/>
          </w:rPr>
          <w:t>2.6.3</w:t>
        </w:r>
        <w:r>
          <w:rPr>
            <w:rStyle w:val="Hyperlink"/>
            <w:rFonts w:cs="Book Antiqua"/>
            <w:bCs/>
            <w:snapToGrid w:val="0"/>
          </w:rPr>
          <w:t xml:space="preserve"> </w:t>
        </w:r>
        <w:r>
          <w:rPr>
            <w:rStyle w:val="Hyperlink"/>
          </w:rPr>
          <w:t>Baseboards</w:t>
        </w:r>
        <w:r>
          <w:tab/>
        </w:r>
        <w:r>
          <w:fldChar w:fldCharType="begin"/>
        </w:r>
        <w:r>
          <w:instrText xml:space="preserve"> PAGEREF _Toc256000020 \h </w:instrText>
        </w:r>
        <w:r>
          <w:fldChar w:fldCharType="separate"/>
        </w:r>
        <w:r>
          <w:t>2-14</w:t>
        </w:r>
        <w:r>
          <w:fldChar w:fldCharType="end"/>
        </w:r>
      </w:hyperlink>
    </w:p>
    <w:p>
      <w:pPr>
        <w:pStyle w:val="TOC2"/>
        <w:tabs>
          <w:tab w:val="right" w:leader="dot" w:pos="9629"/>
        </w:tabs>
        <w:rPr>
          <w:rFonts w:ascii="Calibri" w:hAnsi="Calibri"/>
          <w:noProof/>
          <w:sz w:val="22"/>
        </w:rPr>
      </w:pPr>
      <w:hyperlink w:anchor="_Toc256000021" w:history="1">
        <w:r>
          <w:rPr>
            <w:rStyle w:val="Hyperlink"/>
            <w:snapToGrid w:val="0"/>
          </w:rPr>
          <w:t>2.7</w:t>
        </w:r>
        <w:r>
          <w:rPr>
            <w:rStyle w:val="Hyperlink"/>
            <w:snapToGrid w:val="0"/>
          </w:rPr>
          <w:t xml:space="preserve"> </w:t>
        </w:r>
        <w:r>
          <w:rPr>
            <w:rStyle w:val="Hyperlink"/>
          </w:rPr>
          <w:t>Floor Reconstruction</w:t>
        </w:r>
        <w:r>
          <w:tab/>
        </w:r>
        <w:r>
          <w:fldChar w:fldCharType="begin"/>
        </w:r>
        <w:r>
          <w:instrText xml:space="preserve"> PAGEREF _Toc256000021 \h </w:instrText>
        </w:r>
        <w:r>
          <w:fldChar w:fldCharType="separate"/>
        </w:r>
        <w:r>
          <w:t>2-14</w:t>
        </w:r>
        <w:r>
          <w:fldChar w:fldCharType="end"/>
        </w:r>
      </w:hyperlink>
    </w:p>
    <w:p>
      <w:pPr>
        <w:pStyle w:val="TOC2"/>
        <w:tabs>
          <w:tab w:val="right" w:leader="dot" w:pos="9629"/>
        </w:tabs>
        <w:rPr>
          <w:rFonts w:ascii="Calibri" w:hAnsi="Calibri"/>
          <w:noProof/>
          <w:sz w:val="22"/>
        </w:rPr>
      </w:pPr>
      <w:hyperlink w:anchor="_Toc256000022" w:history="1">
        <w:r>
          <w:rPr>
            <w:rStyle w:val="Hyperlink"/>
            <w:snapToGrid w:val="0"/>
          </w:rPr>
          <w:t>2.8</w:t>
        </w:r>
        <w:r>
          <w:rPr>
            <w:rStyle w:val="Hyperlink"/>
            <w:snapToGrid w:val="0"/>
          </w:rPr>
          <w:t xml:space="preserve"> </w:t>
        </w:r>
        <w:r>
          <w:rPr>
            <w:rStyle w:val="Hyperlink"/>
          </w:rPr>
          <w:t>Air Conditioning and Fresh Air Systems</w:t>
        </w:r>
        <w:r>
          <w:tab/>
        </w:r>
        <w:r>
          <w:fldChar w:fldCharType="begin"/>
        </w:r>
        <w:r>
          <w:instrText xml:space="preserve"> PAGEREF _Toc256000022 \h </w:instrText>
        </w:r>
        <w:r>
          <w:fldChar w:fldCharType="separate"/>
        </w:r>
        <w:r>
          <w:t>2-14</w:t>
        </w:r>
        <w:r>
          <w:fldChar w:fldCharType="end"/>
        </w:r>
      </w:hyperlink>
    </w:p>
    <w:p>
      <w:pPr>
        <w:pStyle w:val="TOC3"/>
        <w:tabs>
          <w:tab w:val="right" w:leader="dot" w:pos="9629"/>
        </w:tabs>
        <w:rPr>
          <w:rFonts w:ascii="Calibri" w:hAnsi="Calibri"/>
          <w:noProof/>
          <w:sz w:val="22"/>
        </w:rPr>
      </w:pPr>
      <w:hyperlink w:anchor="_Toc256000023" w:history="1">
        <w:r>
          <w:rPr>
            <w:rStyle w:val="Hyperlink"/>
            <w:rFonts w:cs="Book Antiqua"/>
            <w:bCs/>
            <w:snapToGrid w:val="0"/>
          </w:rPr>
          <w:t>2.8.1</w:t>
        </w:r>
        <w:r>
          <w:rPr>
            <w:rStyle w:val="Hyperlink"/>
            <w:rFonts w:cs="Book Antiqua"/>
            <w:bCs/>
            <w:snapToGrid w:val="0"/>
          </w:rPr>
          <w:t xml:space="preserve"> </w:t>
        </w:r>
        <w:r>
          <w:rPr>
            <w:rStyle w:val="Hyperlink"/>
          </w:rPr>
          <w:t>Central Air Conditioning System</w:t>
        </w:r>
        <w:r>
          <w:tab/>
        </w:r>
        <w:r>
          <w:fldChar w:fldCharType="begin"/>
        </w:r>
        <w:r>
          <w:instrText xml:space="preserve"> PAGEREF _Toc256000023 \h </w:instrText>
        </w:r>
        <w:r>
          <w:fldChar w:fldCharType="separate"/>
        </w:r>
        <w:r>
          <w:t>2-14</w:t>
        </w:r>
        <w:r>
          <w:fldChar w:fldCharType="end"/>
        </w:r>
      </w:hyperlink>
    </w:p>
    <w:p>
      <w:pPr>
        <w:pStyle w:val="TOC3"/>
        <w:tabs>
          <w:tab w:val="right" w:leader="dot" w:pos="9629"/>
        </w:tabs>
        <w:rPr>
          <w:rFonts w:ascii="Calibri" w:hAnsi="Calibri"/>
          <w:noProof/>
          <w:sz w:val="22"/>
        </w:rPr>
      </w:pPr>
      <w:hyperlink w:anchor="_Toc256000024" w:history="1">
        <w:r>
          <w:rPr>
            <w:rStyle w:val="Hyperlink"/>
            <w:rFonts w:cs="Book Antiqua"/>
            <w:bCs/>
            <w:snapToGrid w:val="0"/>
          </w:rPr>
          <w:t>2.8.2</w:t>
        </w:r>
        <w:r>
          <w:rPr>
            <w:rStyle w:val="Hyperlink"/>
            <w:rFonts w:cs="Book Antiqua"/>
            <w:bCs/>
            <w:snapToGrid w:val="0"/>
          </w:rPr>
          <w:t xml:space="preserve"> </w:t>
        </w:r>
        <w:r>
          <w:rPr>
            <w:rStyle w:val="Hyperlink"/>
          </w:rPr>
          <w:t>Local Air Conditioning System</w:t>
        </w:r>
        <w:r>
          <w:tab/>
        </w:r>
        <w:r>
          <w:fldChar w:fldCharType="begin"/>
        </w:r>
        <w:r>
          <w:instrText xml:space="preserve"> PAGEREF _Toc256000024 \h </w:instrText>
        </w:r>
        <w:r>
          <w:fldChar w:fldCharType="separate"/>
        </w:r>
        <w:r>
          <w:t>2-15</w:t>
        </w:r>
        <w:r>
          <w:fldChar w:fldCharType="end"/>
        </w:r>
      </w:hyperlink>
    </w:p>
    <w:p>
      <w:pPr>
        <w:pStyle w:val="TOC3"/>
        <w:tabs>
          <w:tab w:val="right" w:leader="dot" w:pos="9629"/>
        </w:tabs>
        <w:rPr>
          <w:rFonts w:ascii="Calibri" w:hAnsi="Calibri"/>
          <w:noProof/>
          <w:sz w:val="22"/>
        </w:rPr>
      </w:pPr>
      <w:hyperlink w:anchor="_Toc256000025" w:history="1">
        <w:r>
          <w:rPr>
            <w:rStyle w:val="Hyperlink"/>
            <w:rFonts w:cs="Book Antiqua"/>
            <w:bCs/>
            <w:snapToGrid w:val="0"/>
          </w:rPr>
          <w:t>2.8.3</w:t>
        </w:r>
        <w:r>
          <w:rPr>
            <w:rStyle w:val="Hyperlink"/>
            <w:rFonts w:cs="Book Antiqua"/>
            <w:bCs/>
            <w:snapToGrid w:val="0"/>
          </w:rPr>
          <w:t xml:space="preserve"> </w:t>
        </w:r>
        <w:r>
          <w:rPr>
            <w:rStyle w:val="Hyperlink"/>
          </w:rPr>
          <w:t>Fresh Air System</w:t>
        </w:r>
        <w:r>
          <w:tab/>
        </w:r>
        <w:r>
          <w:fldChar w:fldCharType="begin"/>
        </w:r>
        <w:r>
          <w:instrText xml:space="preserve"> PAGEREF _Toc256000025 \h </w:instrText>
        </w:r>
        <w:r>
          <w:fldChar w:fldCharType="separate"/>
        </w:r>
        <w:r>
          <w:t>2-16</w:t>
        </w:r>
        <w:r>
          <w:fldChar w:fldCharType="end"/>
        </w:r>
      </w:hyperlink>
    </w:p>
    <w:p>
      <w:pPr>
        <w:pStyle w:val="TOC2"/>
        <w:tabs>
          <w:tab w:val="right" w:leader="dot" w:pos="9629"/>
        </w:tabs>
        <w:rPr>
          <w:rFonts w:ascii="Calibri" w:hAnsi="Calibri"/>
          <w:noProof/>
          <w:sz w:val="22"/>
        </w:rPr>
      </w:pPr>
      <w:hyperlink w:anchor="_Toc256000026" w:history="1">
        <w:r>
          <w:rPr>
            <w:rStyle w:val="Hyperlink"/>
            <w:snapToGrid w:val="0"/>
          </w:rPr>
          <w:t>2.9</w:t>
        </w:r>
        <w:r>
          <w:rPr>
            <w:rStyle w:val="Hyperlink"/>
            <w:snapToGrid w:val="0"/>
          </w:rPr>
          <w:t xml:space="preserve"> </w:t>
        </w:r>
        <w:r>
          <w:rPr>
            <w:rStyle w:val="Hyperlink"/>
          </w:rPr>
          <w:t>Power Supply</w:t>
        </w:r>
        <w:r>
          <w:tab/>
        </w:r>
        <w:r>
          <w:fldChar w:fldCharType="begin"/>
        </w:r>
        <w:r>
          <w:instrText xml:space="preserve"> PAGEREF _Toc256000026 \h </w:instrText>
        </w:r>
        <w:r>
          <w:fldChar w:fldCharType="separate"/>
        </w:r>
        <w:r>
          <w:t>2-17</w:t>
        </w:r>
        <w:r>
          <w:fldChar w:fldCharType="end"/>
        </w:r>
      </w:hyperlink>
    </w:p>
    <w:p>
      <w:pPr>
        <w:pStyle w:val="TOC3"/>
        <w:tabs>
          <w:tab w:val="right" w:leader="dot" w:pos="9629"/>
        </w:tabs>
        <w:rPr>
          <w:rFonts w:ascii="Calibri" w:hAnsi="Calibri"/>
          <w:noProof/>
          <w:sz w:val="22"/>
        </w:rPr>
      </w:pPr>
      <w:hyperlink w:anchor="_Toc256000027" w:history="1">
        <w:r>
          <w:rPr>
            <w:rStyle w:val="Hyperlink"/>
            <w:rFonts w:cs="Book Antiqua"/>
            <w:bCs/>
            <w:snapToGrid w:val="0"/>
          </w:rPr>
          <w:t>2.9.1</w:t>
        </w:r>
        <w:r>
          <w:rPr>
            <w:rStyle w:val="Hyperlink"/>
            <w:rFonts w:cs="Book Antiqua"/>
            <w:bCs/>
            <w:snapToGrid w:val="0"/>
          </w:rPr>
          <w:t xml:space="preserve"> </w:t>
        </w:r>
        <w:r>
          <w:rPr>
            <w:rStyle w:val="Hyperlink"/>
          </w:rPr>
          <w:t>Power Supply</w:t>
        </w:r>
        <w:r>
          <w:tab/>
        </w:r>
        <w:r>
          <w:fldChar w:fldCharType="begin"/>
        </w:r>
        <w:r>
          <w:instrText xml:space="preserve"> PAGEREF _Toc256000027 \h </w:instrText>
        </w:r>
        <w:r>
          <w:fldChar w:fldCharType="separate"/>
        </w:r>
        <w:r>
          <w:t>2-17</w:t>
        </w:r>
        <w:r>
          <w:fldChar w:fldCharType="end"/>
        </w:r>
      </w:hyperlink>
    </w:p>
    <w:p>
      <w:pPr>
        <w:pStyle w:val="TOC3"/>
        <w:tabs>
          <w:tab w:val="right" w:leader="dot" w:pos="9629"/>
        </w:tabs>
        <w:rPr>
          <w:rFonts w:ascii="Calibri" w:hAnsi="Calibri"/>
          <w:noProof/>
          <w:sz w:val="22"/>
        </w:rPr>
      </w:pPr>
      <w:hyperlink w:anchor="_Toc256000028" w:history="1">
        <w:r>
          <w:rPr>
            <w:rStyle w:val="Hyperlink"/>
            <w:rFonts w:cs="Book Antiqua"/>
            <w:bCs/>
            <w:snapToGrid w:val="0"/>
          </w:rPr>
          <w:t>2.9.2</w:t>
        </w:r>
        <w:r>
          <w:rPr>
            <w:rStyle w:val="Hyperlink"/>
            <w:rFonts w:cs="Book Antiqua"/>
            <w:bCs/>
            <w:snapToGrid w:val="0"/>
          </w:rPr>
          <w:t xml:space="preserve"> </w:t>
        </w:r>
        <w:r>
          <w:rPr>
            <w:rStyle w:val="Hyperlink"/>
          </w:rPr>
          <w:t>Power Grounding</w:t>
        </w:r>
        <w:r>
          <w:tab/>
        </w:r>
        <w:r>
          <w:fldChar w:fldCharType="begin"/>
        </w:r>
        <w:r>
          <w:instrText xml:space="preserve"> PAGEREF _Toc256000028 \h </w:instrText>
        </w:r>
        <w:r>
          <w:fldChar w:fldCharType="separate"/>
        </w:r>
        <w:r>
          <w:t>2-18</w:t>
        </w:r>
        <w:r>
          <w:fldChar w:fldCharType="end"/>
        </w:r>
      </w:hyperlink>
    </w:p>
    <w:p>
      <w:pPr>
        <w:pStyle w:val="TOC2"/>
        <w:tabs>
          <w:tab w:val="right" w:leader="dot" w:pos="9629"/>
        </w:tabs>
        <w:rPr>
          <w:rFonts w:ascii="Calibri" w:hAnsi="Calibri"/>
          <w:noProof/>
          <w:sz w:val="22"/>
        </w:rPr>
      </w:pPr>
      <w:hyperlink w:anchor="_Toc256000029" w:history="1">
        <w:r>
          <w:rPr>
            <w:rStyle w:val="Hyperlink"/>
            <w:snapToGrid w:val="0"/>
          </w:rPr>
          <w:t>2.10</w:t>
        </w:r>
        <w:r>
          <w:rPr>
            <w:rStyle w:val="Hyperlink"/>
            <w:snapToGrid w:val="0"/>
          </w:rPr>
          <w:t xml:space="preserve"> </w:t>
        </w:r>
        <w:r>
          <w:rPr>
            <w:rStyle w:val="Hyperlink"/>
          </w:rPr>
          <w:t>Network</w:t>
        </w:r>
        <w:r>
          <w:tab/>
        </w:r>
        <w:r>
          <w:fldChar w:fldCharType="begin"/>
        </w:r>
        <w:r>
          <w:instrText xml:space="preserve"> PAGEREF _Toc256000029 \h </w:instrText>
        </w:r>
        <w:r>
          <w:fldChar w:fldCharType="separate"/>
        </w:r>
        <w:r>
          <w:t>2-19</w:t>
        </w:r>
        <w:r>
          <w:fldChar w:fldCharType="end"/>
        </w:r>
      </w:hyperlink>
    </w:p>
    <w:p>
      <w:pPr>
        <w:pStyle w:val="TOC2"/>
        <w:tabs>
          <w:tab w:val="right" w:leader="dot" w:pos="9629"/>
        </w:tabs>
        <w:rPr>
          <w:rFonts w:ascii="Calibri" w:hAnsi="Calibri"/>
          <w:noProof/>
          <w:sz w:val="22"/>
        </w:rPr>
      </w:pPr>
      <w:hyperlink w:anchor="_Toc256000030" w:history="1">
        <w:r>
          <w:rPr>
            <w:rStyle w:val="Hyperlink"/>
            <w:snapToGrid w:val="0"/>
          </w:rPr>
          <w:t>2.11</w:t>
        </w:r>
        <w:r>
          <w:rPr>
            <w:rStyle w:val="Hyperlink"/>
            <w:snapToGrid w:val="0"/>
          </w:rPr>
          <w:t xml:space="preserve"> </w:t>
        </w:r>
        <w:r>
          <w:rPr>
            <w:rStyle w:val="Hyperlink"/>
          </w:rPr>
          <w:t>Indoor Air Quality</w:t>
        </w:r>
        <w:r>
          <w:tab/>
        </w:r>
        <w:r>
          <w:fldChar w:fldCharType="begin"/>
        </w:r>
        <w:r>
          <w:instrText xml:space="preserve"> PAGEREF _Toc256000030 \h </w:instrText>
        </w:r>
        <w:r>
          <w:fldChar w:fldCharType="separate"/>
        </w:r>
        <w:r>
          <w:t>2-19</w:t>
        </w:r>
        <w:r>
          <w:fldChar w:fldCharType="end"/>
        </w:r>
      </w:hyperlink>
    </w:p>
    <w:p>
      <w:pPr>
        <w:pStyle w:val="TOC2"/>
        <w:tabs>
          <w:tab w:val="right" w:leader="dot" w:pos="9629"/>
        </w:tabs>
        <w:rPr>
          <w:rFonts w:ascii="Calibri" w:hAnsi="Calibri"/>
          <w:noProof/>
          <w:sz w:val="22"/>
        </w:rPr>
      </w:pPr>
      <w:hyperlink w:anchor="_Toc256000031" w:history="1">
        <w:r>
          <w:rPr>
            <w:rStyle w:val="Hyperlink"/>
            <w:snapToGrid w:val="0"/>
          </w:rPr>
          <w:t>2.12</w:t>
        </w:r>
        <w:r>
          <w:rPr>
            <w:rStyle w:val="Hyperlink"/>
            <w:snapToGrid w:val="0"/>
          </w:rPr>
          <w:t xml:space="preserve"> </w:t>
        </w:r>
        <w:r>
          <w:rPr>
            <w:rStyle w:val="Hyperlink"/>
          </w:rPr>
          <w:t>Fire Protection Requirements</w:t>
        </w:r>
        <w:r>
          <w:tab/>
        </w:r>
        <w:r>
          <w:fldChar w:fldCharType="begin"/>
        </w:r>
        <w:r>
          <w:instrText xml:space="preserve"> PAGEREF _Toc256000031 \h </w:instrText>
        </w:r>
        <w:r>
          <w:fldChar w:fldCharType="separate"/>
        </w:r>
        <w:r>
          <w:t>2-21</w:t>
        </w:r>
        <w:r>
          <w:fldChar w:fldCharType="end"/>
        </w:r>
      </w:hyperlink>
    </w:p>
    <w:p>
      <w:pPr>
        <w:pStyle w:val="TOC2"/>
        <w:tabs>
          <w:tab w:val="right" w:leader="dot" w:pos="9629"/>
        </w:tabs>
        <w:rPr>
          <w:rFonts w:ascii="Calibri" w:hAnsi="Calibri"/>
          <w:noProof/>
          <w:sz w:val="22"/>
        </w:rPr>
      </w:pPr>
      <w:hyperlink w:anchor="_Toc256000032" w:history="1">
        <w:r>
          <w:rPr>
            <w:rStyle w:val="Hyperlink"/>
            <w:snapToGrid w:val="0"/>
          </w:rPr>
          <w:t>2.13</w:t>
        </w:r>
        <w:r>
          <w:rPr>
            <w:rStyle w:val="Hyperlink"/>
            <w:snapToGrid w:val="0"/>
          </w:rPr>
          <w:t xml:space="preserve"> </w:t>
        </w:r>
        <w:r>
          <w:rPr>
            <w:rStyle w:val="Hyperlink"/>
          </w:rPr>
          <w:t>Environmental Protection Requirements</w:t>
        </w:r>
        <w:r>
          <w:tab/>
        </w:r>
        <w:r>
          <w:fldChar w:fldCharType="begin"/>
        </w:r>
        <w:r>
          <w:instrText xml:space="preserve"> PAGEREF _Toc256000032 \h </w:instrText>
        </w:r>
        <w:r>
          <w:fldChar w:fldCharType="separate"/>
        </w:r>
        <w:r>
          <w:t>2-21</w:t>
        </w:r>
        <w:r>
          <w:fldChar w:fldCharType="end"/>
        </w:r>
      </w:hyperlink>
    </w:p>
    <w:p>
      <w:pPr>
        <w:pStyle w:val="TOC1"/>
        <w:tabs>
          <w:tab w:val="right" w:leader="dot" w:pos="9629"/>
        </w:tabs>
        <w:rPr>
          <w:rFonts w:ascii="Calibri" w:hAnsi="Calibri"/>
          <w:noProof/>
          <w:sz w:val="22"/>
        </w:rPr>
      </w:pPr>
      <w:hyperlink w:anchor="_Toc256000033" w:history="1">
        <w:r>
          <w:rPr>
            <w:rStyle w:val="Hyperlink"/>
          </w:rPr>
          <w:t>3</w:t>
        </w:r>
        <w:r>
          <w:rPr>
            <w:rStyle w:val="Hyperlink"/>
          </w:rPr>
          <w:t xml:space="preserve"> </w:t>
        </w:r>
        <w:r>
          <w:rPr>
            <w:rStyle w:val="Hyperlink"/>
          </w:rPr>
          <w:t>Recommended Conference Room Environment</w:t>
        </w:r>
        <w:r>
          <w:tab/>
        </w:r>
        <w:r>
          <w:fldChar w:fldCharType="begin"/>
        </w:r>
        <w:r>
          <w:instrText xml:space="preserve"> PAGEREF _Toc256000033 \h </w:instrText>
        </w:r>
        <w:r>
          <w:fldChar w:fldCharType="separate"/>
        </w:r>
        <w:r>
          <w:t>3-1</w:t>
        </w:r>
        <w:r>
          <w:fldChar w:fldCharType="end"/>
        </w:r>
      </w:hyperlink>
    </w:p>
    <w:p>
      <w:pPr>
        <w:pStyle w:val="TOC2"/>
        <w:tabs>
          <w:tab w:val="right" w:leader="dot" w:pos="9629"/>
        </w:tabs>
        <w:rPr>
          <w:rFonts w:ascii="Calibri" w:hAnsi="Calibri"/>
          <w:noProof/>
          <w:sz w:val="22"/>
        </w:rPr>
      </w:pPr>
      <w:hyperlink w:anchor="_Toc256000034" w:history="1">
        <w:r>
          <w:rPr>
            <w:rStyle w:val="Hyperlink"/>
            <w:snapToGrid w:val="0"/>
          </w:rPr>
          <w:t>3.1</w:t>
        </w:r>
        <w:r>
          <w:rPr>
            <w:rStyle w:val="Hyperlink"/>
            <w:snapToGrid w:val="0"/>
          </w:rPr>
          <w:t xml:space="preserve"> </w:t>
        </w:r>
        <w:r>
          <w:rPr>
            <w:rStyle w:val="Hyperlink"/>
          </w:rPr>
          <w:t>Acoustics</w:t>
        </w:r>
        <w:r>
          <w:tab/>
        </w:r>
        <w:r>
          <w:fldChar w:fldCharType="begin"/>
        </w:r>
        <w:r>
          <w:instrText xml:space="preserve"> PAGEREF _Toc256000034 \h </w:instrText>
        </w:r>
        <w:r>
          <w:fldChar w:fldCharType="separate"/>
        </w:r>
        <w:r>
          <w:t>3-1</w:t>
        </w:r>
        <w:r>
          <w:fldChar w:fldCharType="end"/>
        </w:r>
      </w:hyperlink>
    </w:p>
    <w:p>
      <w:pPr>
        <w:pStyle w:val="TOC3"/>
        <w:tabs>
          <w:tab w:val="right" w:leader="dot" w:pos="9629"/>
        </w:tabs>
        <w:rPr>
          <w:rFonts w:ascii="Calibri" w:hAnsi="Calibri"/>
          <w:noProof/>
          <w:sz w:val="22"/>
        </w:rPr>
      </w:pPr>
      <w:hyperlink w:anchor="_Toc256000035" w:history="1">
        <w:r>
          <w:rPr>
            <w:rStyle w:val="Hyperlink"/>
            <w:rFonts w:cs="Book Antiqua"/>
            <w:bCs/>
            <w:snapToGrid w:val="0"/>
          </w:rPr>
          <w:t>3.1.1</w:t>
        </w:r>
        <w:r>
          <w:rPr>
            <w:rStyle w:val="Hyperlink"/>
            <w:rFonts w:cs="Book Antiqua"/>
            <w:bCs/>
            <w:snapToGrid w:val="0"/>
          </w:rPr>
          <w:t xml:space="preserve"> </w:t>
        </w:r>
        <w:r>
          <w:rPr>
            <w:rStyle w:val="Hyperlink"/>
          </w:rPr>
          <w:t>Sound Absorption Plan I</w:t>
        </w:r>
        <w:r>
          <w:tab/>
        </w:r>
        <w:r>
          <w:fldChar w:fldCharType="begin"/>
        </w:r>
        <w:r>
          <w:instrText xml:space="preserve"> PAGEREF _Toc256000035 \h </w:instrText>
        </w:r>
        <w:r>
          <w:fldChar w:fldCharType="separate"/>
        </w:r>
        <w:r>
          <w:t>3-1</w:t>
        </w:r>
        <w:r>
          <w:fldChar w:fldCharType="end"/>
        </w:r>
      </w:hyperlink>
    </w:p>
    <w:p>
      <w:pPr>
        <w:pStyle w:val="TOC3"/>
        <w:tabs>
          <w:tab w:val="right" w:leader="dot" w:pos="9629"/>
        </w:tabs>
        <w:rPr>
          <w:rFonts w:ascii="Calibri" w:hAnsi="Calibri"/>
          <w:noProof/>
          <w:sz w:val="22"/>
        </w:rPr>
      </w:pPr>
      <w:hyperlink w:anchor="_Toc256000036" w:history="1">
        <w:r>
          <w:rPr>
            <w:rStyle w:val="Hyperlink"/>
            <w:rFonts w:cs="Book Antiqua"/>
            <w:bCs/>
            <w:snapToGrid w:val="0"/>
          </w:rPr>
          <w:t>3.1.2</w:t>
        </w:r>
        <w:r>
          <w:rPr>
            <w:rStyle w:val="Hyperlink"/>
            <w:rFonts w:cs="Book Antiqua"/>
            <w:bCs/>
            <w:snapToGrid w:val="0"/>
          </w:rPr>
          <w:t xml:space="preserve"> </w:t>
        </w:r>
        <w:r>
          <w:rPr>
            <w:rStyle w:val="Hyperlink"/>
          </w:rPr>
          <w:t>Sound Absorption Plan II</w:t>
        </w:r>
        <w:r>
          <w:tab/>
        </w:r>
        <w:r>
          <w:fldChar w:fldCharType="begin"/>
        </w:r>
        <w:r>
          <w:instrText xml:space="preserve"> PAGEREF _Toc256000036 \h </w:instrText>
        </w:r>
        <w:r>
          <w:fldChar w:fldCharType="separate"/>
        </w:r>
        <w:r>
          <w:t>3-3</w:t>
        </w:r>
        <w:r>
          <w:fldChar w:fldCharType="end"/>
        </w:r>
      </w:hyperlink>
    </w:p>
    <w:p>
      <w:pPr>
        <w:pStyle w:val="TOC2"/>
        <w:tabs>
          <w:tab w:val="right" w:leader="dot" w:pos="9629"/>
        </w:tabs>
        <w:rPr>
          <w:rFonts w:ascii="Calibri" w:hAnsi="Calibri"/>
          <w:noProof/>
          <w:sz w:val="22"/>
        </w:rPr>
      </w:pPr>
      <w:hyperlink w:anchor="_Toc256000037" w:history="1">
        <w:r>
          <w:rPr>
            <w:rStyle w:val="Hyperlink"/>
            <w:snapToGrid w:val="0"/>
          </w:rPr>
          <w:t>3.2</w:t>
        </w:r>
        <w:r>
          <w:rPr>
            <w:rStyle w:val="Hyperlink"/>
            <w:snapToGrid w:val="0"/>
          </w:rPr>
          <w:t xml:space="preserve"> </w:t>
        </w:r>
        <w:r>
          <w:rPr>
            <w:rStyle w:val="Hyperlink"/>
          </w:rPr>
          <w:t>Illumination</w:t>
        </w:r>
        <w:r>
          <w:tab/>
        </w:r>
        <w:r>
          <w:fldChar w:fldCharType="begin"/>
        </w:r>
        <w:r>
          <w:instrText xml:space="preserve"> PAGEREF _Toc256000037 \h </w:instrText>
        </w:r>
        <w:r>
          <w:fldChar w:fldCharType="separate"/>
        </w:r>
        <w:r>
          <w:t>3-5</w:t>
        </w:r>
        <w:r>
          <w:fldChar w:fldCharType="end"/>
        </w:r>
      </w:hyperlink>
    </w:p>
    <w:p>
      <w:pPr>
        <w:pStyle w:val="TOC3"/>
        <w:tabs>
          <w:tab w:val="right" w:leader="dot" w:pos="9629"/>
        </w:tabs>
        <w:rPr>
          <w:rFonts w:ascii="Calibri" w:hAnsi="Calibri"/>
          <w:noProof/>
          <w:sz w:val="22"/>
        </w:rPr>
      </w:pPr>
      <w:hyperlink w:anchor="_Toc256000038" w:history="1">
        <w:r>
          <w:rPr>
            <w:rStyle w:val="Hyperlink"/>
            <w:rFonts w:cs="Book Antiqua"/>
            <w:bCs/>
            <w:snapToGrid w:val="0"/>
          </w:rPr>
          <w:t>3.2.1</w:t>
        </w:r>
        <w:r>
          <w:rPr>
            <w:rStyle w:val="Hyperlink"/>
            <w:rFonts w:cs="Book Antiqua"/>
            <w:bCs/>
            <w:snapToGrid w:val="0"/>
          </w:rPr>
          <w:t xml:space="preserve"> </w:t>
        </w:r>
        <w:r>
          <w:rPr>
            <w:rStyle w:val="Hyperlink"/>
          </w:rPr>
          <w:t>Light Fitting Layout</w:t>
        </w:r>
        <w:r>
          <w:tab/>
        </w:r>
        <w:r>
          <w:fldChar w:fldCharType="begin"/>
        </w:r>
        <w:r>
          <w:instrText xml:space="preserve"> PAGEREF _Toc256000038 \h </w:instrText>
        </w:r>
        <w:r>
          <w:fldChar w:fldCharType="separate"/>
        </w:r>
        <w:r>
          <w:t>3-5</w:t>
        </w:r>
        <w:r>
          <w:fldChar w:fldCharType="end"/>
        </w:r>
      </w:hyperlink>
    </w:p>
    <w:p>
      <w:pPr>
        <w:pStyle w:val="TOC4"/>
        <w:tabs>
          <w:tab w:val="right" w:leader="dot" w:pos="9629"/>
        </w:tabs>
        <w:rPr>
          <w:rFonts w:ascii="Calibri" w:hAnsi="Calibri"/>
          <w:noProof/>
          <w:sz w:val="22"/>
        </w:rPr>
      </w:pPr>
      <w:hyperlink w:anchor="_Toc256000039" w:history="1">
        <w:r>
          <w:rPr>
            <w:rStyle w:val="Hyperlink"/>
            <w:rFonts w:cs="Book Antiqua"/>
            <w:bCs/>
          </w:rPr>
          <w:t>3.2.1.1</w:t>
        </w:r>
        <w:r>
          <w:rPr>
            <w:rStyle w:val="Hyperlink"/>
            <w:rFonts w:cs="Book Antiqua"/>
            <w:bCs/>
          </w:rPr>
          <w:t xml:space="preserve"> </w:t>
        </w:r>
        <w:r>
          <w:rPr>
            <w:rStyle w:val="Hyperlink"/>
          </w:rPr>
          <w:t>Single-Row Telepresence Rooms</w:t>
        </w:r>
        <w:r>
          <w:tab/>
        </w:r>
        <w:r>
          <w:fldChar w:fldCharType="begin"/>
        </w:r>
        <w:r>
          <w:instrText xml:space="preserve"> PAGEREF _Toc256000039 \h </w:instrText>
        </w:r>
        <w:r>
          <w:fldChar w:fldCharType="separate"/>
        </w:r>
        <w:r>
          <w:t>3-5</w:t>
        </w:r>
        <w:r>
          <w:fldChar w:fldCharType="end"/>
        </w:r>
      </w:hyperlink>
    </w:p>
    <w:p>
      <w:pPr>
        <w:pStyle w:val="TOC4"/>
        <w:tabs>
          <w:tab w:val="right" w:leader="dot" w:pos="9629"/>
        </w:tabs>
        <w:rPr>
          <w:rFonts w:ascii="Calibri" w:hAnsi="Calibri"/>
          <w:noProof/>
          <w:sz w:val="22"/>
        </w:rPr>
      </w:pPr>
      <w:hyperlink w:anchor="_Toc256000040" w:history="1">
        <w:r>
          <w:rPr>
            <w:rStyle w:val="Hyperlink"/>
            <w:rFonts w:cs="Book Antiqua"/>
            <w:bCs/>
          </w:rPr>
          <w:t>3.2.1.2</w:t>
        </w:r>
        <w:r>
          <w:rPr>
            <w:rStyle w:val="Hyperlink"/>
            <w:rFonts w:cs="Book Antiqua"/>
            <w:bCs/>
          </w:rPr>
          <w:t xml:space="preserve"> </w:t>
        </w:r>
        <w:r>
          <w:rPr>
            <w:rStyle w:val="Hyperlink"/>
          </w:rPr>
          <w:t>Telepresence Room with Double-Row Tables</w:t>
        </w:r>
        <w:r>
          <w:tab/>
        </w:r>
        <w:r>
          <w:fldChar w:fldCharType="begin"/>
        </w:r>
        <w:r>
          <w:instrText xml:space="preserve"> PAGEREF _Toc256000040 \h </w:instrText>
        </w:r>
        <w:r>
          <w:fldChar w:fldCharType="separate"/>
        </w:r>
        <w:r>
          <w:t>3-6</w:t>
        </w:r>
        <w:r>
          <w:fldChar w:fldCharType="end"/>
        </w:r>
      </w:hyperlink>
    </w:p>
    <w:p>
      <w:pPr>
        <w:pStyle w:val="TOC3"/>
        <w:tabs>
          <w:tab w:val="right" w:leader="dot" w:pos="9629"/>
        </w:tabs>
        <w:rPr>
          <w:rFonts w:ascii="Calibri" w:hAnsi="Calibri"/>
          <w:noProof/>
          <w:sz w:val="22"/>
        </w:rPr>
      </w:pPr>
      <w:hyperlink w:anchor="_Toc256000041" w:history="1">
        <w:r>
          <w:rPr>
            <w:rStyle w:val="Hyperlink"/>
            <w:rFonts w:cs="Book Antiqua"/>
            <w:bCs/>
            <w:snapToGrid w:val="0"/>
          </w:rPr>
          <w:t>3.2.2</w:t>
        </w:r>
        <w:r>
          <w:rPr>
            <w:rStyle w:val="Hyperlink"/>
            <w:rFonts w:cs="Book Antiqua"/>
            <w:bCs/>
            <w:snapToGrid w:val="0"/>
          </w:rPr>
          <w:t xml:space="preserve"> </w:t>
        </w:r>
        <w:r>
          <w:rPr>
            <w:rStyle w:val="Hyperlink"/>
          </w:rPr>
          <w:t>Lamp Selection</w:t>
        </w:r>
        <w:r>
          <w:tab/>
        </w:r>
        <w:r>
          <w:fldChar w:fldCharType="begin"/>
        </w:r>
        <w:r>
          <w:instrText xml:space="preserve"> PAGEREF _Toc256000041 \h </w:instrText>
        </w:r>
        <w:r>
          <w:fldChar w:fldCharType="separate"/>
        </w:r>
        <w:r>
          <w:t>3-7</w:t>
        </w:r>
        <w:r>
          <w:fldChar w:fldCharType="end"/>
        </w:r>
      </w:hyperlink>
    </w:p>
    <w:p>
      <w:pPr>
        <w:pStyle w:val="TOC2"/>
        <w:tabs>
          <w:tab w:val="right" w:leader="dot" w:pos="9629"/>
        </w:tabs>
        <w:rPr>
          <w:rFonts w:ascii="Calibri" w:hAnsi="Calibri"/>
          <w:noProof/>
          <w:sz w:val="22"/>
        </w:rPr>
      </w:pPr>
      <w:hyperlink w:anchor="_Toc256000042" w:history="1">
        <w:r>
          <w:rPr>
            <w:rStyle w:val="Hyperlink"/>
            <w:snapToGrid w:val="0"/>
          </w:rPr>
          <w:t>3.3</w:t>
        </w:r>
        <w:r>
          <w:rPr>
            <w:rStyle w:val="Hyperlink"/>
            <w:snapToGrid w:val="0"/>
          </w:rPr>
          <w:t xml:space="preserve"> </w:t>
        </w:r>
        <w:r>
          <w:rPr>
            <w:rStyle w:val="Hyperlink"/>
          </w:rPr>
          <w:t>Wall Reconstruction</w:t>
        </w:r>
        <w:r>
          <w:tab/>
        </w:r>
        <w:r>
          <w:fldChar w:fldCharType="begin"/>
        </w:r>
        <w:r>
          <w:instrText xml:space="preserve"> PAGEREF _Toc256000042 \h </w:instrText>
        </w:r>
        <w:r>
          <w:fldChar w:fldCharType="separate"/>
        </w:r>
        <w:r>
          <w:t>3-9</w:t>
        </w:r>
        <w:r>
          <w:fldChar w:fldCharType="end"/>
        </w:r>
      </w:hyperlink>
    </w:p>
    <w:p>
      <w:pPr>
        <w:pStyle w:val="TOC3"/>
        <w:tabs>
          <w:tab w:val="right" w:leader="dot" w:pos="9629"/>
        </w:tabs>
        <w:rPr>
          <w:rFonts w:ascii="Calibri" w:hAnsi="Calibri"/>
          <w:noProof/>
          <w:sz w:val="22"/>
        </w:rPr>
      </w:pPr>
      <w:hyperlink w:anchor="_Toc256000043" w:history="1">
        <w:r>
          <w:rPr>
            <w:rStyle w:val="Hyperlink"/>
            <w:rFonts w:cs="Book Antiqua"/>
            <w:bCs/>
            <w:snapToGrid w:val="0"/>
          </w:rPr>
          <w:t>3.3.1</w:t>
        </w:r>
        <w:r>
          <w:rPr>
            <w:rStyle w:val="Hyperlink"/>
            <w:rFonts w:cs="Book Antiqua"/>
            <w:bCs/>
            <w:snapToGrid w:val="0"/>
          </w:rPr>
          <w:t xml:space="preserve"> </w:t>
        </w:r>
        <w:r>
          <w:rPr>
            <w:rStyle w:val="Hyperlink"/>
          </w:rPr>
          <w:t>Background Wall</w:t>
        </w:r>
        <w:r>
          <w:tab/>
        </w:r>
        <w:r>
          <w:fldChar w:fldCharType="begin"/>
        </w:r>
        <w:r>
          <w:instrText xml:space="preserve"> PAGEREF _Toc256000043 \h </w:instrText>
        </w:r>
        <w:r>
          <w:fldChar w:fldCharType="separate"/>
        </w:r>
        <w:r>
          <w:t>3-9</w:t>
        </w:r>
        <w:r>
          <w:fldChar w:fldCharType="end"/>
        </w:r>
      </w:hyperlink>
    </w:p>
    <w:p>
      <w:pPr>
        <w:pStyle w:val="TOC3"/>
        <w:tabs>
          <w:tab w:val="right" w:leader="dot" w:pos="9629"/>
        </w:tabs>
        <w:rPr>
          <w:rFonts w:ascii="Calibri" w:hAnsi="Calibri"/>
          <w:noProof/>
          <w:sz w:val="22"/>
        </w:rPr>
      </w:pPr>
      <w:hyperlink w:anchor="_Toc256000044" w:history="1">
        <w:r>
          <w:rPr>
            <w:rStyle w:val="Hyperlink"/>
            <w:rFonts w:cs="Book Antiqua"/>
            <w:bCs/>
            <w:snapToGrid w:val="0"/>
          </w:rPr>
          <w:t>3.3.2</w:t>
        </w:r>
        <w:r>
          <w:rPr>
            <w:rStyle w:val="Hyperlink"/>
            <w:rFonts w:cs="Book Antiqua"/>
            <w:bCs/>
            <w:snapToGrid w:val="0"/>
          </w:rPr>
          <w:t xml:space="preserve"> </w:t>
        </w:r>
        <w:r>
          <w:rPr>
            <w:rStyle w:val="Hyperlink"/>
          </w:rPr>
          <w:t>Foreground Wall</w:t>
        </w:r>
        <w:r>
          <w:tab/>
        </w:r>
        <w:r>
          <w:fldChar w:fldCharType="begin"/>
        </w:r>
        <w:r>
          <w:instrText xml:space="preserve"> PAGEREF _Toc256000044 \h </w:instrText>
        </w:r>
        <w:r>
          <w:fldChar w:fldCharType="separate"/>
        </w:r>
        <w:r>
          <w:t>3-9</w:t>
        </w:r>
        <w:r>
          <w:fldChar w:fldCharType="end"/>
        </w:r>
      </w:hyperlink>
    </w:p>
    <w:p>
      <w:pPr>
        <w:pStyle w:val="TOC3"/>
        <w:tabs>
          <w:tab w:val="right" w:leader="dot" w:pos="9629"/>
        </w:tabs>
        <w:rPr>
          <w:rFonts w:ascii="Calibri" w:hAnsi="Calibri"/>
          <w:noProof/>
          <w:sz w:val="22"/>
        </w:rPr>
      </w:pPr>
      <w:hyperlink w:anchor="_Toc256000045" w:history="1">
        <w:r>
          <w:rPr>
            <w:rStyle w:val="Hyperlink"/>
            <w:rFonts w:cs="Book Antiqua"/>
            <w:bCs/>
            <w:snapToGrid w:val="0"/>
          </w:rPr>
          <w:t>3.3.3</w:t>
        </w:r>
        <w:r>
          <w:rPr>
            <w:rStyle w:val="Hyperlink"/>
            <w:rFonts w:cs="Book Antiqua"/>
            <w:bCs/>
            <w:snapToGrid w:val="0"/>
          </w:rPr>
          <w:t xml:space="preserve"> </w:t>
        </w:r>
        <w:r>
          <w:rPr>
            <w:rStyle w:val="Hyperlink"/>
          </w:rPr>
          <w:t>Right Side Wall</w:t>
        </w:r>
        <w:r>
          <w:tab/>
        </w:r>
        <w:r>
          <w:fldChar w:fldCharType="begin"/>
        </w:r>
        <w:r>
          <w:instrText xml:space="preserve"> PAGEREF _Toc256000045 \h </w:instrText>
        </w:r>
        <w:r>
          <w:fldChar w:fldCharType="separate"/>
        </w:r>
        <w:r>
          <w:t>3-9</w:t>
        </w:r>
        <w:r>
          <w:fldChar w:fldCharType="end"/>
        </w:r>
      </w:hyperlink>
    </w:p>
    <w:p>
      <w:pPr>
        <w:pStyle w:val="TOC3"/>
        <w:tabs>
          <w:tab w:val="right" w:leader="dot" w:pos="9629"/>
        </w:tabs>
        <w:rPr>
          <w:rFonts w:ascii="Calibri" w:hAnsi="Calibri"/>
          <w:noProof/>
          <w:sz w:val="22"/>
        </w:rPr>
      </w:pPr>
      <w:hyperlink w:anchor="_Toc256000046" w:history="1">
        <w:r>
          <w:rPr>
            <w:rStyle w:val="Hyperlink"/>
            <w:rFonts w:cs="Book Antiqua"/>
            <w:bCs/>
            <w:snapToGrid w:val="0"/>
          </w:rPr>
          <w:t>3.3.4</w:t>
        </w:r>
        <w:r>
          <w:rPr>
            <w:rStyle w:val="Hyperlink"/>
            <w:rFonts w:cs="Book Antiqua"/>
            <w:bCs/>
            <w:snapToGrid w:val="0"/>
          </w:rPr>
          <w:t xml:space="preserve"> </w:t>
        </w:r>
        <w:r>
          <w:rPr>
            <w:rStyle w:val="Hyperlink"/>
          </w:rPr>
          <w:t>Left Side Wall</w:t>
        </w:r>
        <w:r>
          <w:tab/>
        </w:r>
        <w:r>
          <w:fldChar w:fldCharType="begin"/>
        </w:r>
        <w:r>
          <w:instrText xml:space="preserve"> PAGEREF _Toc256000046 \h </w:instrText>
        </w:r>
        <w:r>
          <w:fldChar w:fldCharType="separate"/>
        </w:r>
        <w:r>
          <w:t>3-10</w:t>
        </w:r>
        <w:r>
          <w:fldChar w:fldCharType="end"/>
        </w:r>
      </w:hyperlink>
    </w:p>
    <w:p>
      <w:pPr>
        <w:pStyle w:val="TOC3"/>
        <w:tabs>
          <w:tab w:val="right" w:leader="dot" w:pos="9629"/>
        </w:tabs>
        <w:rPr>
          <w:rFonts w:ascii="Calibri" w:hAnsi="Calibri"/>
          <w:noProof/>
          <w:sz w:val="22"/>
        </w:rPr>
      </w:pPr>
      <w:hyperlink w:anchor="_Toc256000047" w:history="1">
        <w:r>
          <w:rPr>
            <w:rStyle w:val="Hyperlink"/>
            <w:rFonts w:cs="Book Antiqua"/>
            <w:bCs/>
            <w:snapToGrid w:val="0"/>
          </w:rPr>
          <w:t>3.3.5</w:t>
        </w:r>
        <w:r>
          <w:rPr>
            <w:rStyle w:val="Hyperlink"/>
            <w:rFonts w:cs="Book Antiqua"/>
            <w:bCs/>
            <w:snapToGrid w:val="0"/>
          </w:rPr>
          <w:t xml:space="preserve"> </w:t>
        </w:r>
        <w:r>
          <w:rPr>
            <w:rStyle w:val="Hyperlink"/>
          </w:rPr>
          <w:t>Floor</w:t>
        </w:r>
        <w:r>
          <w:tab/>
        </w:r>
        <w:r>
          <w:fldChar w:fldCharType="begin"/>
        </w:r>
        <w:r>
          <w:instrText xml:space="preserve"> PAGEREF _Toc256000047 \h </w:instrText>
        </w:r>
        <w:r>
          <w:fldChar w:fldCharType="separate"/>
        </w:r>
        <w:r>
          <w:t>3-10</w:t>
        </w:r>
        <w:r>
          <w:fldChar w:fldCharType="end"/>
        </w:r>
      </w:hyperlink>
    </w:p>
    <w:p>
      <w:pPr>
        <w:pStyle w:val="TOC2"/>
        <w:tabs>
          <w:tab w:val="right" w:leader="dot" w:pos="9629"/>
        </w:tabs>
        <w:rPr>
          <w:rFonts w:ascii="Calibri" w:hAnsi="Calibri"/>
          <w:noProof/>
          <w:sz w:val="22"/>
        </w:rPr>
      </w:pPr>
      <w:hyperlink w:anchor="_Toc256000048" w:history="1">
        <w:r>
          <w:rPr>
            <w:rStyle w:val="Hyperlink"/>
            <w:snapToGrid w:val="0"/>
          </w:rPr>
          <w:t>3.4</w:t>
        </w:r>
        <w:r>
          <w:rPr>
            <w:rStyle w:val="Hyperlink"/>
            <w:snapToGrid w:val="0"/>
          </w:rPr>
          <w:t xml:space="preserve"> </w:t>
        </w:r>
        <w:r>
          <w:rPr>
            <w:rStyle w:val="Hyperlink"/>
          </w:rPr>
          <w:t>Effect Pictures</w:t>
        </w:r>
        <w:r>
          <w:tab/>
        </w:r>
        <w:r>
          <w:fldChar w:fldCharType="begin"/>
        </w:r>
        <w:r>
          <w:instrText xml:space="preserve"> PAGEREF _Toc256000048 \h </w:instrText>
        </w:r>
        <w:r>
          <w:fldChar w:fldCharType="separate"/>
        </w:r>
        <w:r>
          <w:t>3-11</w:t>
        </w:r>
        <w:r>
          <w:fldChar w:fldCharType="end"/>
        </w:r>
      </w:hyperlink>
    </w:p>
    <w:p>
      <w:pPr>
        <w:pStyle w:val="TOC3"/>
        <w:tabs>
          <w:tab w:val="right" w:leader="dot" w:pos="9629"/>
        </w:tabs>
        <w:rPr>
          <w:rFonts w:ascii="Calibri" w:hAnsi="Calibri"/>
          <w:noProof/>
          <w:sz w:val="22"/>
        </w:rPr>
      </w:pPr>
      <w:hyperlink w:anchor="_Toc256000049" w:history="1">
        <w:r>
          <w:rPr>
            <w:rStyle w:val="Hyperlink"/>
            <w:rFonts w:cs="Book Antiqua"/>
            <w:bCs/>
            <w:snapToGrid w:val="0"/>
          </w:rPr>
          <w:t>3.4.1</w:t>
        </w:r>
        <w:r>
          <w:rPr>
            <w:rStyle w:val="Hyperlink"/>
            <w:rFonts w:cs="Book Antiqua"/>
            <w:bCs/>
            <w:snapToGrid w:val="0"/>
          </w:rPr>
          <w:t xml:space="preserve"> </w:t>
        </w:r>
        <w:r>
          <w:rPr>
            <w:rStyle w:val="Hyperlink"/>
          </w:rPr>
          <w:t>Single-Row Telepresence Room Effect Drawing</w:t>
        </w:r>
        <w:r>
          <w:tab/>
        </w:r>
        <w:r>
          <w:fldChar w:fldCharType="begin"/>
        </w:r>
        <w:r>
          <w:instrText xml:space="preserve"> PAGEREF _Toc256000049 \h </w:instrText>
        </w:r>
        <w:r>
          <w:fldChar w:fldCharType="separate"/>
        </w:r>
        <w:r>
          <w:t>3-11</w:t>
        </w:r>
        <w:r>
          <w:fldChar w:fldCharType="end"/>
        </w:r>
      </w:hyperlink>
    </w:p>
    <w:p>
      <w:pPr>
        <w:pStyle w:val="TOC3"/>
        <w:tabs>
          <w:tab w:val="right" w:leader="dot" w:pos="9629"/>
        </w:tabs>
        <w:rPr>
          <w:rFonts w:ascii="Calibri" w:hAnsi="Calibri"/>
          <w:noProof/>
          <w:sz w:val="22"/>
        </w:rPr>
      </w:pPr>
      <w:hyperlink w:anchor="_Toc256000050" w:history="1">
        <w:r>
          <w:rPr>
            <w:rStyle w:val="Hyperlink"/>
            <w:rFonts w:cs="Book Antiqua"/>
            <w:bCs/>
            <w:snapToGrid w:val="0"/>
          </w:rPr>
          <w:t>3.4.2</w:t>
        </w:r>
        <w:r>
          <w:rPr>
            <w:rStyle w:val="Hyperlink"/>
            <w:rFonts w:cs="Book Antiqua"/>
            <w:bCs/>
            <w:snapToGrid w:val="0"/>
          </w:rPr>
          <w:t xml:space="preserve"> </w:t>
        </w:r>
        <w:r>
          <w:rPr>
            <w:rStyle w:val="Hyperlink"/>
          </w:rPr>
          <w:t>Dual-Row Telepresence Room Effect Drawing</w:t>
        </w:r>
        <w:r>
          <w:tab/>
        </w:r>
        <w:r>
          <w:fldChar w:fldCharType="begin"/>
        </w:r>
        <w:r>
          <w:instrText xml:space="preserve"> PAGEREF _Toc256000050 \h </w:instrText>
        </w:r>
        <w:r>
          <w:fldChar w:fldCharType="separate"/>
        </w:r>
        <w:r>
          <w:t>3-12</w:t>
        </w:r>
        <w:r>
          <w:fldChar w:fldCharType="end"/>
        </w:r>
      </w:hyperlink>
    </w:p>
    <w:p>
      <w:pPr>
        <w:pStyle w:val="TOC1"/>
        <w:tabs>
          <w:tab w:val="right" w:leader="dot" w:pos="9629"/>
        </w:tabs>
        <w:rPr>
          <w:rFonts w:ascii="Calibri" w:hAnsi="Calibri"/>
          <w:noProof/>
          <w:sz w:val="22"/>
        </w:rPr>
      </w:pPr>
      <w:hyperlink w:anchor="_Toc256000051" w:history="1">
        <w:r>
          <w:rPr>
            <w:rStyle w:val="Hyperlink"/>
          </w:rPr>
          <w:t>4</w:t>
        </w:r>
        <w:r>
          <w:rPr>
            <w:rStyle w:val="Hyperlink"/>
          </w:rPr>
          <w:t xml:space="preserve"> </w:t>
        </w:r>
        <w:r>
          <w:rPr>
            <w:rStyle w:val="Hyperlink"/>
          </w:rPr>
          <w:t>Appendix</w:t>
        </w:r>
        <w:r>
          <w:tab/>
        </w:r>
        <w:r>
          <w:fldChar w:fldCharType="begin"/>
        </w:r>
        <w:r>
          <w:instrText xml:space="preserve"> PAGEREF _Toc256000051 \h </w:instrText>
        </w:r>
        <w:r>
          <w:fldChar w:fldCharType="separate"/>
        </w:r>
        <w:r>
          <w:t>4-1</w:t>
        </w:r>
        <w:r>
          <w:fldChar w:fldCharType="end"/>
        </w:r>
      </w:hyperlink>
    </w:p>
    <w:p>
      <w:pPr>
        <w:pStyle w:val="TOC2"/>
        <w:tabs>
          <w:tab w:val="right" w:leader="dot" w:pos="9629"/>
        </w:tabs>
        <w:rPr>
          <w:rFonts w:ascii="Calibri" w:hAnsi="Calibri"/>
          <w:noProof/>
          <w:sz w:val="22"/>
        </w:rPr>
      </w:pPr>
      <w:hyperlink w:anchor="_Toc256000052" w:history="1">
        <w:r>
          <w:rPr>
            <w:rStyle w:val="Hyperlink"/>
            <w:snapToGrid w:val="0"/>
          </w:rPr>
          <w:t>4.1</w:t>
        </w:r>
        <w:r>
          <w:rPr>
            <w:rStyle w:val="Hyperlink"/>
            <w:snapToGrid w:val="0"/>
          </w:rPr>
          <w:t xml:space="preserve"> </w:t>
        </w:r>
        <w:r>
          <w:rPr>
            <w:rStyle w:val="Hyperlink"/>
          </w:rPr>
          <w:t>Appendix 1</w:t>
        </w:r>
        <w:r>
          <w:tab/>
        </w:r>
        <w:r>
          <w:fldChar w:fldCharType="begin"/>
        </w:r>
        <w:r>
          <w:instrText xml:space="preserve"> PAGEREF _Toc256000052 \h </w:instrText>
        </w:r>
        <w:r>
          <w:fldChar w:fldCharType="separate"/>
        </w:r>
        <w:r>
          <w:t>4-1</w:t>
        </w:r>
        <w:r>
          <w:fldChar w:fldCharType="end"/>
        </w:r>
      </w:hyperlink>
    </w:p>
    <w:p>
      <w:pPr>
        <w:pStyle w:val="TOC1"/>
        <w:tabs>
          <w:tab w:val="right" w:leader="dot" w:pos="9629"/>
        </w:tabs>
        <w:sectPr>
          <w:headerReference w:type="even" r:id="rId6"/>
          <w:headerReference w:type="default" r:id="rId7"/>
          <w:footerReference w:type="even" r:id="rId8"/>
          <w:footerReference w:type="default" r:id="rId9"/>
          <w:headerReference w:type="first" r:id="rId10"/>
          <w:type w:val="oddPage"/>
          <w:pgSz w:w="11907" w:h="16840" w:code="9"/>
          <w:pgMar w:top="1701" w:right="1134" w:bottom="1701" w:left="1134" w:header="567" w:footer="567" w:gutter="0"/>
          <w:pgNumType w:fmt="lowerRoman" w:start="1"/>
          <w:cols w:space="425"/>
          <w:docGrid w:linePitch="312"/>
        </w:sectPr>
      </w:pPr>
      <w:r>
        <w:fldChar w:fldCharType="end"/>
      </w:r>
    </w:p>
    <w:p>
      <w:pPr>
        <w:pStyle w:val="Heading1"/>
      </w:pPr>
      <w:bookmarkStart w:id="0" w:name="_EN-US_TOPIC_0000002540893718"/>
      <w:bookmarkEnd w:id="0"/>
      <w:bookmarkStart w:id="1" w:name="_EN-US_TOPIC_0000002540893718-chtext"/>
      <w:bookmarkStart w:id="2" w:name="_Toc256000000"/>
      <w:r>
        <w:t>Purpose</w:t>
      </w:r>
      <w:bookmarkEnd w:id="2"/>
      <w:bookmarkEnd w:id="1"/>
    </w:p>
    <w:p>
      <w:r>
        <w:t>Huawei immersive telepresence conference rooms must be uniformly decorated to ensure consistent site environments, as well as high-definition (HD) video and high-fidelity (Hi-Fi) audio experience. This document provides design requirements for the telepresence rooms, including acoustics, illumination, and heating, ventilation, and air conditioning (HVAC) requirements.</w:t>
      </w:r>
    </w:p>
    <w:p>
      <w:pPr>
        <w:sectPr>
          <w:headerReference w:type="even" r:id="rId11"/>
          <w:headerReference w:type="default" r:id="rId12"/>
          <w:footerReference w:type="even" r:id="rId13"/>
          <w:footerReference w:type="default" r:id="rId14"/>
          <w:type w:val="oddPage"/>
          <w:pgSz w:w="11907" w:h="16840" w:code="9"/>
          <w:pgMar w:top="1701" w:right="1134" w:bottom="1701" w:left="1134" w:header="567" w:footer="567" w:gutter="0"/>
          <w:pgNumType w:start="1" w:chapStyle="1"/>
          <w:cols w:space="425"/>
          <w:docGrid w:linePitch="312"/>
        </w:sectPr>
      </w:pPr>
    </w:p>
    <w:bookmarkStart w:id="3" w:name="_EN-US_TOPIC_0000002540893724"/>
    <w:bookmarkEnd w:id="3"/>
    <w:p>
      <w:pPr>
        <w:pStyle w:val="Heading1"/>
      </w:pPr>
      <w:bookmarkStart w:id="4" w:name="_EN-US_TOPIC_0000002540893724-chtext"/>
      <w:bookmarkStart w:id="5" w:name="_Toc256000001"/>
      <w:r>
        <w:t>Construction Standards</w:t>
      </w:r>
      <w:bookmarkEnd w:id="5"/>
      <w:bookmarkEnd w:id="4"/>
    </w:p>
    <w:p>
      <w:pPr>
        <w:pStyle w:val="NotesHeading"/>
        <w:rPr>
          <w:rFonts w:hint="eastAsia"/>
        </w:rPr>
      </w:pPr>
      <w:r>
        <w:rPr>
          <w:rFonts w:hint="eastAsia"/>
          <w:color w:val="33996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08pt;height:19pt">
            <v:imagedata r:id="rId15" o:title="note"/>
          </v:shape>
        </w:pict>
      </w:r>
    </w:p>
    <w:p>
      <w:pPr>
        <w:pStyle w:val="NotesText"/>
      </w:pPr>
      <w:r>
        <w:t>The unit of all dimensions in this document is millimeter.</w:t>
      </w:r>
    </w:p>
    <w:bookmarkStart w:id="6" w:name="_EN-US_TOPIC_0000002571533647"/>
    <w:bookmarkEnd w:id="6"/>
    <w:p>
      <w:pPr>
        <w:pStyle w:val="Heading2"/>
        <w:numPr>
          <w:numId w:val="49"/>
        </w:numPr>
      </w:pPr>
      <w:bookmarkStart w:id="7" w:name="_EN-US_TOPIC_0000002571533647-chtext"/>
      <w:bookmarkStart w:id="8" w:name="_Toc256000002"/>
      <w:r>
        <w:t>Basic Device Information</w:t>
      </w:r>
      <w:bookmarkEnd w:id="8"/>
      <w:bookmarkEnd w:id="7"/>
    </w:p>
    <w:p>
      <w:r>
        <w:t>Immersive telepresence devices are classified into single-row and dual-row telepresence devices.</w:t>
      </w:r>
    </w:p>
    <w:p>
      <w:pPr>
        <w:pStyle w:val="Heading3"/>
        <w:numPr>
          <w:numId w:val="50"/>
        </w:numPr>
      </w:pPr>
      <w:bookmarkStart w:id="9" w:name="_EN-US_TOPIC_0000002571413715-chtext"/>
      <w:bookmarkStart w:id="10" w:name="_Toc256000003"/>
      <w:r>
        <w:t>Single-Row Telepresence Device</w:t>
      </w:r>
      <w:bookmarkEnd w:id="10"/>
      <w:bookmarkEnd w:id="9"/>
    </w:p>
    <w:p>
      <w:r>
        <w:t>Dimensions (H x W x D): 5576 mm x 3185 mm x 1776 mm.</w:t>
      </w:r>
    </w:p>
    <w:p>
      <w:pPr>
        <w:pStyle w:val="FigureDescription"/>
      </w:pPr>
      <w:r>
        <w:t>Equipment dimensions</w:t>
      </w:r>
    </w:p>
    <w:p>
      <w:pPr>
        <w:pStyle w:val="Figure"/>
      </w:pPr>
      <w:r>
        <w:pict>
          <v:shape id="_x0000_i1026" type="#_x0000_t75" style="width:357.74pt;height:244.5pt">
            <v:imagedata r:id="rId16" o:title=""/>
          </v:shape>
        </w:pict>
      </w:r>
    </w:p>
    <w:p/>
    <w:p>
      <w:pPr>
        <w:pStyle w:val="Heading3"/>
      </w:pPr>
      <w:bookmarkStart w:id="11" w:name="_EN-US_TOPIC_0000002540893702-chtext"/>
      <w:bookmarkStart w:id="12" w:name="_Toc256000004"/>
      <w:r>
        <w:t>Dual-Row Telepresence Device</w:t>
      </w:r>
      <w:bookmarkEnd w:id="12"/>
      <w:bookmarkEnd w:id="11"/>
    </w:p>
    <w:p>
      <w:r>
        <w:t>Dimensions (H x W x D): 8500 mm x 5185 mm x 1776 mm.</w:t>
      </w:r>
    </w:p>
    <w:p>
      <w:pPr>
        <w:pStyle w:val="FigureDescription"/>
      </w:pPr>
      <w:r>
        <w:t>Equipment dimensions</w:t>
      </w:r>
    </w:p>
    <w:p>
      <w:pPr>
        <w:pStyle w:val="Figure"/>
      </w:pPr>
      <w:r>
        <w:pict>
          <v:shape id="_x0000_i1027" type="#_x0000_t75" style="width:381.6pt;height:270pt">
            <v:imagedata r:id="rId17" o:title=""/>
          </v:shape>
        </w:pict>
      </w:r>
    </w:p>
    <w:p/>
    <w:bookmarkStart w:id="13" w:name="_EN-US_TOPIC_0000002540893710"/>
    <w:bookmarkEnd w:id="13"/>
    <w:p>
      <w:pPr>
        <w:pStyle w:val="Heading2"/>
      </w:pPr>
      <w:bookmarkStart w:id="14" w:name="_EN-US_TOPIC_0000002540893710-chtext"/>
      <w:bookmarkStart w:id="15" w:name="_Toc256000005"/>
      <w:r>
        <w:t>Space Standards</w:t>
      </w:r>
      <w:bookmarkEnd w:id="15"/>
      <w:bookmarkEnd w:id="14"/>
    </w:p>
    <w:p>
      <w:pPr>
        <w:pStyle w:val="Heading3"/>
        <w:numPr>
          <w:numId w:val="53"/>
        </w:numPr>
      </w:pPr>
      <w:bookmarkStart w:id="16" w:name="_EN-US_TOPIC_0000002571533671-chtext"/>
      <w:bookmarkStart w:id="17" w:name="_Toc256000006"/>
      <w:r>
        <w:t>Standard Room Dimensions</w:t>
      </w:r>
      <w:bookmarkEnd w:id="17"/>
      <w:bookmarkEnd w:id="16"/>
    </w:p>
    <w:p>
      <w:r>
        <w:t>To deliver a comfortable conferencing experience, you need to take the calculation and test data of ergonomics into consideration, such as the average human body size, operation space, and psychological space, when designing the telepresence room dimensions.</w:t>
      </w:r>
    </w:p>
    <w:p>
      <w:pPr>
        <w:pStyle w:val="Heading4"/>
        <w:numPr>
          <w:numId w:val="54"/>
        </w:numPr>
      </w:pPr>
      <w:bookmarkStart w:id="18" w:name="_EN-US_TOPIC_0000002540893704-chtext"/>
      <w:bookmarkStart w:id="19" w:name="_Toc256000007"/>
      <w:r>
        <w:t>Single-Row Telepresence Room</w:t>
      </w:r>
      <w:bookmarkEnd w:id="19"/>
      <w:bookmarkEnd w:id="18"/>
    </w:p>
    <w:p>
      <w:r>
        <w:t>After the room is decorated, the standard dimensions (H x W x D) of the telepresence room must be at least 7480 mm x 5085 mm x 2700 mm. No irremovable objects, such as columns, are allowed to occupy the equipment area or the circulation zone around attendees' chairs. The dimensions of the chosen telepresence room must be greater than or equal to the standard dimensions.</w:t>
      </w:r>
    </w:p>
    <w:p>
      <w:pPr>
        <w:pStyle w:val="FigureDescription"/>
      </w:pPr>
      <w:r>
        <w:t>Standard-sized telepresence room floor plan</w:t>
      </w:r>
    </w:p>
    <w:p>
      <w:pPr>
        <w:pStyle w:val="Figure"/>
      </w:pPr>
      <w:r>
        <w:pict>
          <v:shape id="_x0000_i1028" type="#_x0000_t75" style="width:374.4pt;height:287.28pt">
            <v:imagedata r:id="rId18" o:title=""/>
          </v:shape>
        </w:pict>
      </w:r>
    </w:p>
    <w:p/>
    <w:p>
      <w:pPr>
        <w:pStyle w:val="FigureDescription"/>
      </w:pPr>
      <w:r>
        <w:t>Standard-sized telepresence room elevation plan</w:t>
      </w:r>
    </w:p>
    <w:p>
      <w:pPr>
        <w:pStyle w:val="Figure"/>
      </w:pPr>
      <w:r>
        <w:pict>
          <v:shape id="_x0000_i1029" type="#_x0000_t75" style="width:393.75pt;height:220.45pt">
            <v:imagedata r:id="rId19" o:title=""/>
          </v:shape>
        </w:pict>
      </w:r>
    </w:p>
    <w:p/>
    <w:p>
      <w:pPr>
        <w:pStyle w:val="Heading4"/>
      </w:pPr>
      <w:bookmarkStart w:id="20" w:name="_EN-US_TOPIC_0000002571413695-chtext"/>
      <w:bookmarkStart w:id="21" w:name="_Toc256000008"/>
      <w:r>
        <w:t>Dual-Row Telepresence Room</w:t>
      </w:r>
      <w:bookmarkEnd w:id="21"/>
      <w:bookmarkEnd w:id="20"/>
    </w:p>
    <w:p>
      <w:r>
        <w:t>After the room is decorated, the standard dimensions (H x W x D) of the telepresence room must be at least 10500 mm x 7085 mm x 2700 mm. No irremovable objects, such as columns, are allowed to occupy the equipment area or the circulation zone around attendees' chairs. The dimensions of the chosen telepresence room must be greater than or equal to the standard dimensions.</w:t>
      </w:r>
    </w:p>
    <w:p>
      <w:pPr>
        <w:pStyle w:val="FigureDescription"/>
      </w:pPr>
      <w:r>
        <w:t>Standard-sized telepresence room floor plan</w:t>
      </w:r>
    </w:p>
    <w:p>
      <w:pPr>
        <w:pStyle w:val="Figure"/>
      </w:pPr>
      <w:r>
        <w:pict>
          <v:shape id="_x0000_i1030" type="#_x0000_t75" style="width:384.48pt;height:264.24pt">
            <v:imagedata r:id="rId20" o:title=""/>
          </v:shape>
        </w:pict>
      </w:r>
    </w:p>
    <w:p/>
    <w:p>
      <w:pPr>
        <w:pStyle w:val="FigureDescription"/>
      </w:pPr>
      <w:r>
        <w:t>Standard-sized telepresence room elevation plan</w:t>
      </w:r>
    </w:p>
    <w:p>
      <w:pPr>
        <w:pStyle w:val="Figure"/>
      </w:pPr>
      <w:r>
        <w:pict>
          <v:shape id="_x0000_i1031" type="#_x0000_t75" style="width:393.75pt;height:142.26pt">
            <v:imagedata r:id="rId21" o:title=""/>
          </v:shape>
        </w:pict>
      </w:r>
    </w:p>
    <w:p/>
    <w:bookmarkStart w:id="22" w:name="_EN-US_TOPIC_0000002571413709"/>
    <w:bookmarkEnd w:id="22"/>
    <w:p>
      <w:pPr>
        <w:pStyle w:val="Heading2"/>
      </w:pPr>
      <w:bookmarkStart w:id="23" w:name="_EN-US_TOPIC_0000002571413709-chtext"/>
      <w:bookmarkStart w:id="24" w:name="_Toc256000009"/>
      <w:r>
        <w:t>Illumination Design</w:t>
      </w:r>
      <w:bookmarkEnd w:id="24"/>
      <w:bookmarkEnd w:id="23"/>
    </w:p>
    <w:p>
      <w:r>
        <w:t>A good illumination design provides appropriate:</w:t>
      </w:r>
    </w:p>
    <w:p>
      <w:pPr>
        <w:pStyle w:val="ItemList"/>
      </w:pPr>
      <w:r>
        <w:t>Color temperature and color rendering index (CRI)</w:t>
      </w:r>
    </w:p>
    <w:p>
      <w:pPr>
        <w:pStyle w:val="ItemList"/>
      </w:pPr>
      <w:r>
        <w:t>Illuminance distribution</w:t>
      </w:r>
    </w:p>
    <w:p>
      <w:pPr>
        <w:pStyle w:val="ItemList"/>
      </w:pPr>
      <w:r>
        <w:t>Glare control</w:t>
      </w:r>
    </w:p>
    <w:p>
      <w:pPr>
        <w:pStyle w:val="Heading3"/>
        <w:numPr>
          <w:numId w:val="57"/>
        </w:numPr>
      </w:pPr>
      <w:bookmarkStart w:id="25" w:name="_EN-US_TOPIC_0000002540893366-chtext"/>
      <w:bookmarkStart w:id="26" w:name="_Toc256000010"/>
      <w:r>
        <w:t>Color Temperature and CRI</w:t>
      </w:r>
      <w:bookmarkEnd w:id="26"/>
      <w:bookmarkEnd w:id="25"/>
    </w:p>
    <w:p>
      <w:r>
        <w:t>Color temperature and CRI are the two important measurements of light source quality.</w:t>
      </w:r>
    </w:p>
    <w:p>
      <w:r>
        <w:t>Warm color light approximates to afterglow and creates an amiable and relaxed mood; it is suitable for resting and nesting places. It is recommended that video conferencing sites use a light source with a relatively high color temperature. After getting into the conference room, the natural light will shine on human faces. The color temperature and illuminance of the natural light keep changing, which will affect the image effect.</w:t>
      </w:r>
    </w:p>
    <w:p>
      <w:r>
        <w:t>Light sources with high color rendering can better reproduce image color, so the color displayed is much closer to the natural color. On the contrary, light sources with low color rendering are poor in reproducing image color, which results in big color deviation.</w:t>
      </w:r>
    </w:p>
    <w:p>
      <w:pPr>
        <w:pStyle w:val="FigureDescription"/>
      </w:pPr>
      <w:r>
        <w:t>Contrast between higher and lower CRIs</w:t>
      </w:r>
    </w:p>
    <w:p>
      <w:pPr>
        <w:pStyle w:val="Figure"/>
      </w:pPr>
      <w:r>
        <w:pict>
          <v:shape id="_x0000_i1032" type="#_x0000_t75" style="width:244.8pt;height:200.88pt">
            <v:imagedata r:id="rId22" o:title=""/>
          </v:shape>
        </w:pict>
      </w:r>
    </w:p>
    <w:p/>
    <w:p>
      <w:r>
        <w:t>In a telepresence room, artificial light sources with color temperature of 4000 K and CRI (Ra) higher than 90 are used.</w:t>
      </w:r>
    </w:p>
    <w:p>
      <w:pPr>
        <w:pStyle w:val="Heading3"/>
      </w:pPr>
      <w:bookmarkStart w:id="27" w:name="_EN-US_TOPIC_0000002571413689-chtext"/>
      <w:bookmarkStart w:id="28" w:name="_Toc256000011"/>
      <w:r>
        <w:t>Illuminance Distribution</w:t>
      </w:r>
      <w:bookmarkEnd w:id="28"/>
      <w:bookmarkEnd w:id="27"/>
    </w:p>
    <w:p>
      <w:r>
        <w:t>The telepresence system supports 720p, 1080p, and 4K HD video experience. Telepresence conference rooms have high requirements on illuminance. If the illuminance in the room is low, the image noise is obvious, which severely affects the HD video experience. In addition, proper illuminance distribution can also create a good three-dimensional sense of people.</w:t>
      </w:r>
    </w:p>
    <w:p>
      <w:r>
        <w:t>In a telepresence room, the vertical illuminance is about 850±100 lux, the horizontal illuminance is about 950±100 lux, and the uniformity ratio of illuminance is greater than 0.7. Generally, when the illuminance ratio between the vertical illuminance and horizontal illuminance is smaller than 2, the three-dimensional quality of people is high. Contour illumination makes the face and shoulder contour clearer and more vivid.</w:t>
      </w:r>
    </w:p>
    <w:p>
      <w:pPr>
        <w:pStyle w:val="FigureDescription"/>
      </w:pPr>
      <w:r>
        <w:t>Illuminance distribution measurement</w:t>
      </w:r>
    </w:p>
    <w:p>
      <w:pPr>
        <w:pStyle w:val="Figure"/>
      </w:pPr>
      <w:r>
        <w:pict>
          <v:shape id="_x0000_i1033" type="#_x0000_t75" style="width:393.75pt;height:176.68pt">
            <v:imagedata r:id="rId23" o:title=""/>
          </v:shape>
        </w:pict>
      </w:r>
    </w:p>
    <w:p/>
    <w:p>
      <w:pPr>
        <w:pStyle w:val="NotesHeading"/>
        <w:rPr>
          <w:rFonts w:hint="eastAsia"/>
        </w:rPr>
      </w:pPr>
      <w:r>
        <w:rPr>
          <w:rFonts w:hint="eastAsia"/>
          <w:color w:val="339966"/>
        </w:rPr>
        <w:pict>
          <v:shape id="_x0000_i1034" type="#_x0000_t75" style="width:54.08pt;height:19pt">
            <v:imagedata r:id="rId15" o:title="note"/>
          </v:shape>
        </w:pict>
      </w:r>
    </w:p>
    <w:p>
      <w:pPr>
        <w:pStyle w:val="NotesText"/>
      </w:pPr>
      <w:r>
        <w:t>Usually, the illuminance measurement point is 1.2 meters away from the light. The vertical illuminance specifies the illuminance generated when the photoreceptor of the illuminometer faces the camera and screen. The horizontal illuminance specifies the illuminance generated when the photoreceptor of the illuminometer faces the ceiling.</w:t>
      </w:r>
    </w:p>
    <w:p>
      <w:pPr>
        <w:pStyle w:val="Heading3"/>
      </w:pPr>
      <w:bookmarkStart w:id="29" w:name="_EN-US_TOPIC_0000002540893722-chtext"/>
      <w:bookmarkStart w:id="30" w:name="_Toc256000012"/>
      <w:r>
        <w:t>Glare Control</w:t>
      </w:r>
      <w:bookmarkEnd w:id="30"/>
      <w:bookmarkEnd w:id="29"/>
    </w:p>
    <w:p>
      <w:r>
        <w:t>When you sit in a telepresence room and look squarely at the display, you may perceive uncomfortable glare if the display area within the field of view is much brighter or darker than the surrounding wall or ceiling. Attendees' vision will be impaired if they are in such an environment for a long period of time. The glare degree is determined by a variety of elements, such as the light source location, size, and brightness, observation direction, brightness distribution, and distribution curve flux of lamps.</w:t>
      </w:r>
    </w:p>
    <w:p>
      <w:pPr>
        <w:pStyle w:val="FigureDescription"/>
      </w:pPr>
      <w:r>
        <w:t>Glare control</w:t>
      </w:r>
    </w:p>
    <w:p>
      <w:pPr>
        <w:pStyle w:val="Figure"/>
      </w:pPr>
      <w:r>
        <w:pict>
          <v:shape id="_x0000_i1035" type="#_x0000_t75" style="width:393.75pt;height:179.44pt">
            <v:imagedata r:id="rId24" o:title=""/>
          </v:shape>
        </w:pict>
      </w:r>
    </w:p>
    <w:p/>
    <w:p>
      <w:r>
        <w:t>To avoid uncomfortable glare, note the following when arranging light fixtures:</w:t>
      </w:r>
    </w:p>
    <w:p>
      <w:pPr>
        <w:pStyle w:val="ItemList"/>
      </w:pPr>
      <w:r>
        <w:t>Within 25° higher than the eye level, do not place light sources or objects that have brightness contrast compared with the screen.</w:t>
      </w:r>
    </w:p>
    <w:p>
      <w:pPr>
        <w:pStyle w:val="ItemList"/>
      </w:pPr>
      <w:r>
        <w:t>Use indirect lighting in the range of 25° to 50° higher than the eye level.</w:t>
      </w:r>
    </w:p>
    <w:p>
      <w:pPr>
        <w:pStyle w:val="ItemList"/>
      </w:pPr>
      <w:r>
        <w:t>Arrange light fixtures properly based on the light distribution curve.</w:t>
      </w:r>
    </w:p>
    <w:bookmarkStart w:id="31" w:name="_EN-US_TOPIC_0000002571533663"/>
    <w:bookmarkEnd w:id="31"/>
    <w:p>
      <w:pPr>
        <w:pStyle w:val="Heading2"/>
      </w:pPr>
      <w:bookmarkStart w:id="32" w:name="_EN-US_TOPIC_0000002571533663-chtext"/>
      <w:bookmarkStart w:id="33" w:name="_Toc256000013"/>
      <w:r>
        <w:t>Acoustics Design</w:t>
      </w:r>
      <w:bookmarkEnd w:id="33"/>
      <w:bookmarkEnd w:id="32"/>
    </w:p>
    <w:p>
      <w:r>
        <w:t>Acoustics design in a telepresence room mainly involves voice amplification. To deliver supreme voice quality, the following must be ensured:</w:t>
      </w:r>
    </w:p>
    <w:p>
      <w:pPr>
        <w:pStyle w:val="ItemList"/>
      </w:pPr>
      <w:r>
        <w:t>Controlled reverberation time by using appropriate sound absorbing materials.</w:t>
      </w:r>
    </w:p>
    <w:p>
      <w:pPr>
        <w:pStyle w:val="ItemList"/>
      </w:pPr>
      <w:r>
        <w:t>Effective sound insulation and low background noise.</w:t>
      </w:r>
    </w:p>
    <w:p>
      <w:pPr>
        <w:pStyle w:val="ItemList"/>
      </w:pPr>
      <w:r>
        <w:t>Adequate loudness and Speech Transmission Index (STI).</w:t>
      </w:r>
    </w:p>
    <w:p>
      <w:pPr>
        <w:pStyle w:val="ItemList"/>
      </w:pPr>
      <w:r>
        <w:t>Uniform sound field without quality defects that affect listening.</w:t>
      </w:r>
    </w:p>
    <w:p>
      <w:r>
        <w:t>The loudness and sound field issues are addressed by the telepresence sound amplification system. This section describes the acoustics design in two aspects: sound absorption and noise control.</w:t>
      </w:r>
    </w:p>
    <w:bookmarkStart w:id="34" w:name="_EN-US_TOPIC_0000002571533673"/>
    <w:bookmarkEnd w:id="34"/>
    <w:p>
      <w:pPr>
        <w:pStyle w:val="Heading3"/>
        <w:numPr>
          <w:numId w:val="61"/>
        </w:numPr>
      </w:pPr>
      <w:bookmarkStart w:id="35" w:name="_EN-US_TOPIC_0000002571533673-chtext"/>
      <w:bookmarkStart w:id="36" w:name="_Toc256000014"/>
      <w:r>
        <w:t>Sound Absorption</w:t>
      </w:r>
      <w:bookmarkEnd w:id="36"/>
      <w:bookmarkEnd w:id="35"/>
    </w:p>
    <w:p>
      <w:r>
        <w:t>Principles for applying sound absorbing materials: The ceiling, background wall, and floor are mainly applied with porous sound absorbing materials that absorb mid-range and high frequencies of sound. The sound absorbing materials used in telepresence conference rooms mainly include:</w:t>
      </w:r>
    </w:p>
    <w:p>
      <w:r>
        <w:t>For ceilings: Paper surfaced gypsum boards, perforated gypsum boards, perforated aluminum panels, fiberglass wool boards, acoustic mineral wool panels, and soft-film ceiling absorbers are used. These materials must meet the following requirements: noise reduction coefficient (NRC) greater than or equal to 0.5, fire protection level A, and environmental protection level E1.</w:t>
      </w:r>
    </w:p>
    <w:p>
      <w:r>
        <w:fldChar w:fldCharType="begin"/>
      </w:r>
      <w:r>
        <w:instrText>REF _ref438646534 \r \h</w:instrText>
      </w:r>
      <w:r>
        <w:fldChar w:fldCharType="separate"/>
      </w:r>
      <w:r>
        <w:t>Figure 2-10</w:t>
      </w:r>
      <w:r>
        <w:fldChar w:fldCharType="end"/>
      </w:r>
      <w:r>
        <w:t xml:space="preserve"> shows the common sound absorbing materials for the ceiling.</w:t>
      </w:r>
    </w:p>
    <w:bookmarkStart w:id="37" w:name="_ref438646534"/>
    <w:bookmarkEnd w:id="37"/>
    <w:p>
      <w:pPr>
        <w:pStyle w:val="FigureDescription"/>
      </w:pPr>
      <w:r>
        <w:t>Main sound absorbing materials on ceilings</w:t>
      </w:r>
    </w:p>
    <w:p>
      <w:pPr>
        <w:pStyle w:val="Figure"/>
      </w:pPr>
      <w:r>
        <w:pict>
          <v:shape id="_x0000_i1036" type="#_x0000_t75" style="width:393.75pt;height:174.75pt">
            <v:imagedata r:id="rId25" o:title=""/>
          </v:shape>
        </w:pict>
      </w:r>
    </w:p>
    <w:p/>
    <w:p>
      <w:r>
        <w:t xml:space="preserve">For walls: Fabric wall panels, sound absorbing wall fabric, acoustic curtains, wooden grooved acoustic panels, polyester fiber acoustic panels, perforated wooden acoustic panels that meet fire protection level A and environmental protection level E1 requirements are used for absorbing full-band frequencies of sound. </w:t>
      </w:r>
      <w:r>
        <w:fldChar w:fldCharType="begin"/>
      </w:r>
      <w:r>
        <w:instrText>REF _ref432496212 \r \h</w:instrText>
      </w:r>
      <w:r>
        <w:fldChar w:fldCharType="separate"/>
      </w:r>
      <w:r>
        <w:t>Figure 2-11</w:t>
      </w:r>
      <w:r>
        <w:fldChar w:fldCharType="end"/>
      </w:r>
      <w:r>
        <w:t xml:space="preserve"> shows some sound absorbing materials on walls.</w:t>
      </w:r>
    </w:p>
    <w:p>
      <w:pPr>
        <w:pStyle w:val="ItemList"/>
      </w:pPr>
      <w:r>
        <w:t>Main sound absorbing walls: Main walls must be applied with fabric wall panels. For example, the background wall and side walls must be applied with sponges with a thickness of 30 mm (1.18 in.) and density of 45 kg/M3 or more. The sponge must meet environmental protection level E1, NRC of 0.9 or higher, and fire protection level A requirements. In addition, the surface fabric must meet requirements of fire protection level A, environmental protection level E1, and gram weight 250g/m².</w:t>
      </w:r>
    </w:p>
    <w:p>
      <w:pPr>
        <w:pStyle w:val="ItemList"/>
      </w:pPr>
      <w:r>
        <w:t>Other walls: If windows are located on the side or foreground wall, common curtains that can shade light are sufficient and acoustic curtains are not mandatory. If windows are located on the background wall, shade curtains with a curtain folding rate of 200% must be used for absorbing low and mig-range frequencies of sound. For example, the foreground wall can be applied with thin lacquered boards or wooden veneer structure.</w:t>
      </w:r>
    </w:p>
    <w:bookmarkStart w:id="38" w:name="_ref432496212"/>
    <w:bookmarkEnd w:id="38"/>
    <w:p>
      <w:pPr>
        <w:pStyle w:val="FigureDescription"/>
      </w:pPr>
      <w:r>
        <w:t>Sound absorbing materials on walls</w:t>
      </w:r>
    </w:p>
    <w:p>
      <w:pPr>
        <w:pStyle w:val="Figure"/>
      </w:pPr>
      <w:r>
        <w:pict>
          <v:shape id="_x0000_i1037" type="#_x0000_t75" style="width:393.75pt;height:191.25pt">
            <v:imagedata r:id="rId26" o:title=""/>
          </v:shape>
        </w:pict>
      </w:r>
    </w:p>
    <w:p/>
    <w:p>
      <w:r>
        <w:t xml:space="preserve">For the floor: Lay high-density chemical fiber carpets on the entire floor. The carpet must have a thickness of 6 mm and a density of 700–1000 g/m², and it shall meet the following requirements: fire protection level B1 or B2 specified in the </w:t>
      </w:r>
      <w:r>
        <w:rPr>
          <w:i/>
        </w:rPr>
        <w:t>GB 50222—2001 Code for Fire Prevention in Design of Interior Decoration of Buildings</w:t>
      </w:r>
      <w:r>
        <w:t xml:space="preserve">, and environmental protection level A in the </w:t>
      </w:r>
      <w:r>
        <w:rPr>
          <w:i/>
        </w:rPr>
        <w:t>GB 18587—2001 Indoor Decorating and Refurbishing Materials–Limitations of Harmful Substances Emitted from Carpets, Carpet Cushions and Adhesives</w:t>
      </w:r>
      <w:r>
        <w:t>.</w:t>
      </w:r>
    </w:p>
    <w:p>
      <w:pPr>
        <w:pStyle w:val="FigureDescription"/>
      </w:pPr>
      <w:r>
        <w:t>Carpet style reference</w:t>
      </w:r>
    </w:p>
    <w:p>
      <w:pPr>
        <w:pStyle w:val="Figure"/>
      </w:pPr>
      <w:r>
        <w:pict>
          <v:shape id="_x0000_i1038" type="#_x0000_t75" style="width:393.75pt;height:254.25pt">
            <v:imagedata r:id="rId27" o:title=""/>
          </v:shape>
        </w:pict>
      </w:r>
    </w:p>
    <w:p/>
    <w:bookmarkStart w:id="39" w:name="_EN-US_TOPIC_0000002571533675"/>
    <w:bookmarkEnd w:id="39"/>
    <w:p>
      <w:pPr>
        <w:pStyle w:val="Heading3"/>
      </w:pPr>
      <w:bookmarkStart w:id="40" w:name="_EN-US_TOPIC_0000002571533675-chtext"/>
      <w:bookmarkStart w:id="41" w:name="_Toc256000015"/>
      <w:r>
        <w:t>Noise Control</w:t>
      </w:r>
      <w:bookmarkEnd w:id="41"/>
      <w:bookmarkEnd w:id="40"/>
    </w:p>
    <w:p>
      <w:r>
        <w:t>Noise reduces communication efficiency. Extremely loud noise may cause irreversible hearing damage. Studies show that:</w:t>
      </w:r>
    </w:p>
    <w:p>
      <w:pPr>
        <w:pStyle w:val="ItemList"/>
      </w:pPr>
      <w:r>
        <w:t>When the noise is at 30 dB(A) or lower, the environment is quiet. Examples are recording studios and hospitals.</w:t>
      </w:r>
    </w:p>
    <w:p>
      <w:pPr>
        <w:pStyle w:val="ItemList"/>
      </w:pPr>
      <w:r>
        <w:t>When the noise is at the 30–40 dB(A) level, the environment is neither quiet nor noisy. A typical office environment should be at this level.</w:t>
      </w:r>
    </w:p>
    <w:p>
      <w:pPr>
        <w:pStyle w:val="ItemList"/>
      </w:pPr>
      <w:r>
        <w:t>When the noise level is at the 50–60 dB(A) level, the environment is noisy. Mental work and communication in such an environment will be disturbed. When the background noise reaches 65 dB during calls, it is difficult for the two persons to hear each other.</w:t>
      </w:r>
    </w:p>
    <w:p>
      <w:pPr>
        <w:pStyle w:val="ItemList"/>
      </w:pPr>
      <w:r>
        <w:t>When the noise reaches 80 dB, hearing is extremely difficult.</w:t>
      </w:r>
    </w:p>
    <w:p>
      <w:r>
        <w:t xml:space="preserve">If the outside environment of a telepresence room is noisy, increase the sound insulation of the enclosure (doors, windows, and partitions) of the telepresence room to keep out external noise. </w:t>
      </w:r>
      <w:r>
        <w:fldChar w:fldCharType="begin"/>
      </w:r>
      <w:r>
        <w:instrText>REF _table10772800 \r \h</w:instrText>
      </w:r>
      <w:r>
        <w:fldChar w:fldCharType="separate"/>
      </w:r>
      <w:r>
        <w:t>Table 2-1</w:t>
      </w:r>
      <w:r>
        <w:fldChar w:fldCharType="end"/>
      </w:r>
      <w:r>
        <w:t xml:space="preserve"> lists the SRI of common walls for reference.</w:t>
      </w:r>
    </w:p>
    <w:bookmarkStart w:id="42" w:name="_table10772800"/>
    <w:bookmarkEnd w:id="42"/>
    <w:p>
      <w:pPr>
        <w:pStyle w:val="TableDescription"/>
      </w:pPr>
      <w:r>
        <w:t>SRI of common walls</w:t>
      </w:r>
    </w:p>
    <w:tbl>
      <w:tblPr>
        <w:tblStyle w:val="Table"/>
        <w:tblW w:w="7938" w:type="dxa"/>
        <w:tblInd w:w="1814" w:type="dxa"/>
        <w:tblLayout w:type="fixed"/>
        <w:tblLook w:val="01E0"/>
      </w:tblPr>
      <w:tblGrid>
        <w:gridCol w:w="4081"/>
        <w:gridCol w:w="2207"/>
        <w:gridCol w:w="878"/>
        <w:gridCol w:w="772"/>
      </w:tblGrid>
      <w:tr>
        <w:tblPrEx>
          <w:tblW w:w="7938" w:type="dxa"/>
          <w:tblInd w:w="1814" w:type="dxa"/>
          <w:tblLayout w:type="fixed"/>
          <w:tblLook w:val="01E0"/>
        </w:tblPrEx>
        <w:trPr>
          <w:cantSplit w:val="0"/>
          <w:tblHeader/>
        </w:trPr>
        <w:tc>
          <w:tcPr>
            <w:tcW w:w="2570" w:type="pct"/>
            <w:tcBorders>
              <w:top w:val="single" w:sz="6" w:space="0" w:color="000000"/>
              <w:bottom w:val="single" w:sz="6" w:space="0" w:color="000000"/>
              <w:right w:val="single" w:sz="6" w:space="0" w:color="000000"/>
            </w:tcBorders>
            <w:shd w:val="clear" w:color="auto" w:fill="D9D9D9"/>
          </w:tcPr>
          <w:p>
            <w:pPr>
              <w:pStyle w:val="TableHeading"/>
            </w:pPr>
            <w:r>
              <w:t>Structural Drawing</w:t>
            </w:r>
          </w:p>
        </w:tc>
        <w:tc>
          <w:tcPr>
            <w:tcW w:w="139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553" w:type="pct"/>
            <w:tcBorders>
              <w:top w:val="single" w:sz="6" w:space="0" w:color="000000"/>
              <w:bottom w:val="single" w:sz="6" w:space="0" w:color="000000"/>
              <w:right w:val="single" w:sz="6" w:space="0" w:color="000000"/>
            </w:tcBorders>
            <w:shd w:val="clear" w:color="auto" w:fill="D9D9D9"/>
          </w:tcPr>
          <w:p>
            <w:pPr>
              <w:pStyle w:val="TableHeading"/>
            </w:pPr>
            <w:r>
              <w:t>SRI (dB)</w:t>
            </w:r>
          </w:p>
        </w:tc>
        <w:tc>
          <w:tcPr>
            <w:tcW w:w="486" w:type="pct"/>
            <w:tcBorders>
              <w:top w:val="single" w:sz="6" w:space="0" w:color="000000"/>
              <w:bottom w:val="single" w:sz="6" w:space="0" w:color="000000"/>
            </w:tcBorders>
            <w:shd w:val="clear" w:color="auto" w:fill="D9D9D9"/>
          </w:tcPr>
          <w:p>
            <w:pPr>
              <w:pStyle w:val="TableHeading"/>
            </w:pPr>
            <w:r>
              <w:t>Wall Thickness (mm)</w:t>
            </w:r>
          </w:p>
        </w:tc>
      </w:tr>
      <w:tr>
        <w:tblPrEx>
          <w:tblW w:w="7938" w:type="dxa"/>
          <w:tblInd w:w="1814" w:type="dxa"/>
          <w:tblLayout w:type="fixed"/>
          <w:tblLook w:val="01E0"/>
        </w:tblPrEx>
        <w:trPr>
          <w:cantSplit w:val="0"/>
        </w:trPr>
        <w:tc>
          <w:tcPr>
            <w:tcW w:w="2570" w:type="pct"/>
            <w:tcBorders>
              <w:top w:val="single" w:sz="6" w:space="0" w:color="000000"/>
              <w:bottom w:val="single" w:sz="6" w:space="0" w:color="000000"/>
              <w:right w:val="single" w:sz="6" w:space="0" w:color="000000"/>
            </w:tcBorders>
          </w:tcPr>
          <w:p>
            <w:pPr>
              <w:pStyle w:val="TableText"/>
            </w:pPr>
            <w:r>
              <w:pict>
                <v:shape id="_x0000_i1039" type="#_x0000_t75" style="width:137.67pt;height:32.25pt">
                  <v:imagedata r:id="rId28" o:title=""/>
                </v:shape>
              </w:pict>
            </w:r>
          </w:p>
        </w:tc>
        <w:tc>
          <w:tcPr>
            <w:tcW w:w="1390" w:type="pct"/>
            <w:tcBorders>
              <w:top w:val="single" w:sz="6" w:space="0" w:color="000000"/>
              <w:bottom w:val="single" w:sz="6" w:space="0" w:color="000000"/>
              <w:right w:val="single" w:sz="6" w:space="0" w:color="000000"/>
            </w:tcBorders>
          </w:tcPr>
          <w:p>
            <w:pPr>
              <w:pStyle w:val="TableText"/>
            </w:pPr>
            <w:r>
              <w:t>Reinforced concrete</w:t>
            </w:r>
          </w:p>
        </w:tc>
        <w:tc>
          <w:tcPr>
            <w:tcW w:w="553" w:type="pct"/>
            <w:tcBorders>
              <w:top w:val="single" w:sz="6" w:space="0" w:color="000000"/>
              <w:bottom w:val="single" w:sz="6" w:space="0" w:color="000000"/>
              <w:right w:val="single" w:sz="6" w:space="0" w:color="000000"/>
            </w:tcBorders>
          </w:tcPr>
          <w:p>
            <w:pPr>
              <w:pStyle w:val="TableText"/>
            </w:pPr>
            <w:r>
              <w:t>48</w:t>
            </w:r>
          </w:p>
        </w:tc>
        <w:tc>
          <w:tcPr>
            <w:tcW w:w="486" w:type="pct"/>
            <w:tcBorders>
              <w:top w:val="single" w:sz="6" w:space="0" w:color="000000"/>
              <w:bottom w:val="single" w:sz="6" w:space="0" w:color="000000"/>
            </w:tcBorders>
          </w:tcPr>
          <w:p>
            <w:pPr>
              <w:pStyle w:val="TableText"/>
            </w:pPr>
            <w:r>
              <w:t>120</w:t>
            </w:r>
          </w:p>
        </w:tc>
      </w:tr>
      <w:tr>
        <w:tblPrEx>
          <w:tblW w:w="7938" w:type="dxa"/>
          <w:tblInd w:w="1814" w:type="dxa"/>
          <w:tblLayout w:type="fixed"/>
          <w:tblLook w:val="01E0"/>
        </w:tblPrEx>
        <w:trPr>
          <w:cantSplit w:val="0"/>
        </w:trPr>
        <w:tc>
          <w:tcPr>
            <w:tcW w:w="2570" w:type="pct"/>
            <w:tcBorders>
              <w:top w:val="single" w:sz="6" w:space="0" w:color="000000"/>
              <w:bottom w:val="single" w:sz="6" w:space="0" w:color="000000"/>
              <w:right w:val="single" w:sz="6" w:space="0" w:color="000000"/>
            </w:tcBorders>
          </w:tcPr>
          <w:p>
            <w:pPr>
              <w:pStyle w:val="TableText"/>
            </w:pPr>
            <w:r>
              <w:pict>
                <v:shape id="_x0000_i1040" type="#_x0000_t75" style="width:127.5pt;height:35.25pt">
                  <v:imagedata r:id="rId29" o:title=""/>
                </v:shape>
              </w:pict>
            </w:r>
          </w:p>
        </w:tc>
        <w:tc>
          <w:tcPr>
            <w:tcW w:w="1390" w:type="pct"/>
            <w:tcBorders>
              <w:top w:val="single" w:sz="6" w:space="0" w:color="000000"/>
              <w:bottom w:val="single" w:sz="6" w:space="0" w:color="000000"/>
              <w:right w:val="single" w:sz="6" w:space="0" w:color="000000"/>
            </w:tcBorders>
          </w:tcPr>
          <w:p>
            <w:pPr>
              <w:pStyle w:val="TableText"/>
            </w:pPr>
            <w:r>
              <w:t>Reinforced concrete</w:t>
            </w:r>
          </w:p>
        </w:tc>
        <w:tc>
          <w:tcPr>
            <w:tcW w:w="553" w:type="pct"/>
            <w:tcBorders>
              <w:top w:val="single" w:sz="6" w:space="0" w:color="000000"/>
              <w:bottom w:val="single" w:sz="6" w:space="0" w:color="000000"/>
              <w:right w:val="single" w:sz="6" w:space="0" w:color="000000"/>
            </w:tcBorders>
          </w:tcPr>
          <w:p>
            <w:pPr>
              <w:pStyle w:val="TableText"/>
            </w:pPr>
            <w:r>
              <w:t>52</w:t>
            </w:r>
          </w:p>
        </w:tc>
        <w:tc>
          <w:tcPr>
            <w:tcW w:w="486" w:type="pct"/>
            <w:tcBorders>
              <w:top w:val="single" w:sz="6" w:space="0" w:color="000000"/>
              <w:bottom w:val="single" w:sz="6" w:space="0" w:color="000000"/>
            </w:tcBorders>
          </w:tcPr>
          <w:p>
            <w:pPr>
              <w:pStyle w:val="TableText"/>
            </w:pPr>
            <w:r>
              <w:t>150</w:t>
            </w:r>
          </w:p>
        </w:tc>
      </w:tr>
      <w:tr>
        <w:tblPrEx>
          <w:tblW w:w="7938" w:type="dxa"/>
          <w:tblInd w:w="1814" w:type="dxa"/>
          <w:tblLayout w:type="fixed"/>
          <w:tblLook w:val="01E0"/>
        </w:tblPrEx>
        <w:trPr>
          <w:cantSplit w:val="0"/>
        </w:trPr>
        <w:tc>
          <w:tcPr>
            <w:tcW w:w="2570" w:type="pct"/>
            <w:tcBorders>
              <w:top w:val="single" w:sz="6" w:space="0" w:color="000000"/>
              <w:bottom w:val="single" w:sz="6" w:space="0" w:color="000000"/>
              <w:right w:val="single" w:sz="6" w:space="0" w:color="000000"/>
            </w:tcBorders>
          </w:tcPr>
          <w:p>
            <w:pPr>
              <w:pStyle w:val="TableText"/>
            </w:pPr>
            <w:r>
              <w:pict>
                <v:shape id="_x0000_i1041" type="#_x0000_t75" style="width:127.5pt;height:30.75pt">
                  <v:imagedata r:id="rId30" o:title=""/>
                </v:shape>
              </w:pict>
            </w:r>
          </w:p>
        </w:tc>
        <w:tc>
          <w:tcPr>
            <w:tcW w:w="1390" w:type="pct"/>
            <w:tcBorders>
              <w:top w:val="single" w:sz="6" w:space="0" w:color="000000"/>
              <w:bottom w:val="single" w:sz="6" w:space="0" w:color="000000"/>
              <w:right w:val="single" w:sz="6" w:space="0" w:color="000000"/>
            </w:tcBorders>
          </w:tcPr>
          <w:p>
            <w:pPr>
              <w:pStyle w:val="TableText"/>
            </w:pPr>
            <w:r>
              <w:t>Hollow brick with double-sided plaster</w:t>
            </w:r>
          </w:p>
        </w:tc>
        <w:tc>
          <w:tcPr>
            <w:tcW w:w="553" w:type="pct"/>
            <w:tcBorders>
              <w:top w:val="single" w:sz="6" w:space="0" w:color="000000"/>
              <w:bottom w:val="single" w:sz="6" w:space="0" w:color="000000"/>
              <w:right w:val="single" w:sz="6" w:space="0" w:color="000000"/>
            </w:tcBorders>
          </w:tcPr>
          <w:p>
            <w:pPr>
              <w:pStyle w:val="TableText"/>
            </w:pPr>
            <w:r>
              <w:t>45</w:t>
            </w:r>
          </w:p>
        </w:tc>
        <w:tc>
          <w:tcPr>
            <w:tcW w:w="486" w:type="pct"/>
            <w:tcBorders>
              <w:top w:val="single" w:sz="6" w:space="0" w:color="000000"/>
              <w:bottom w:val="single" w:sz="6" w:space="0" w:color="000000"/>
            </w:tcBorders>
          </w:tcPr>
          <w:p>
            <w:pPr>
              <w:pStyle w:val="TableText"/>
            </w:pPr>
            <w:r>
              <w:t>130</w:t>
            </w:r>
          </w:p>
        </w:tc>
      </w:tr>
      <w:tr>
        <w:tblPrEx>
          <w:tblW w:w="7938" w:type="dxa"/>
          <w:tblInd w:w="1814" w:type="dxa"/>
          <w:tblLayout w:type="fixed"/>
          <w:tblLook w:val="01E0"/>
        </w:tblPrEx>
        <w:trPr>
          <w:cantSplit w:val="0"/>
        </w:trPr>
        <w:tc>
          <w:tcPr>
            <w:tcW w:w="2570" w:type="pct"/>
            <w:tcBorders>
              <w:top w:val="single" w:sz="6" w:space="0" w:color="000000"/>
              <w:bottom w:val="single" w:sz="6" w:space="0" w:color="000000"/>
              <w:right w:val="single" w:sz="6" w:space="0" w:color="000000"/>
            </w:tcBorders>
          </w:tcPr>
          <w:p>
            <w:pPr>
              <w:pStyle w:val="TableText"/>
            </w:pPr>
            <w:r>
              <w:pict>
                <v:shape id="_x0000_i1042" type="#_x0000_t75" style="width:127.5pt;height:27.75pt">
                  <v:imagedata r:id="rId31" o:title=""/>
                </v:shape>
              </w:pict>
            </w:r>
          </w:p>
        </w:tc>
        <w:tc>
          <w:tcPr>
            <w:tcW w:w="1390" w:type="pct"/>
            <w:tcBorders>
              <w:top w:val="single" w:sz="6" w:space="0" w:color="000000"/>
              <w:bottom w:val="single" w:sz="6" w:space="0" w:color="000000"/>
              <w:right w:val="single" w:sz="6" w:space="0" w:color="000000"/>
            </w:tcBorders>
          </w:tcPr>
          <w:p>
            <w:pPr>
              <w:pStyle w:val="TableText"/>
            </w:pPr>
            <w:r>
              <w:t>Autoclaved aerated concrete (AAC) with double-sided plaster</w:t>
            </w:r>
          </w:p>
        </w:tc>
        <w:tc>
          <w:tcPr>
            <w:tcW w:w="553" w:type="pct"/>
            <w:tcBorders>
              <w:top w:val="single" w:sz="6" w:space="0" w:color="000000"/>
              <w:bottom w:val="single" w:sz="6" w:space="0" w:color="000000"/>
              <w:right w:val="single" w:sz="6" w:space="0" w:color="000000"/>
            </w:tcBorders>
          </w:tcPr>
          <w:p>
            <w:pPr>
              <w:pStyle w:val="TableText"/>
            </w:pPr>
            <w:r>
              <w:t>43</w:t>
            </w:r>
          </w:p>
        </w:tc>
        <w:tc>
          <w:tcPr>
            <w:tcW w:w="486" w:type="pct"/>
            <w:tcBorders>
              <w:top w:val="single" w:sz="6" w:space="0" w:color="000000"/>
              <w:bottom w:val="single" w:sz="6" w:space="0" w:color="000000"/>
            </w:tcBorders>
          </w:tcPr>
          <w:p>
            <w:pPr>
              <w:pStyle w:val="TableText"/>
            </w:pPr>
            <w:r>
              <w:t>130</w:t>
            </w:r>
          </w:p>
        </w:tc>
      </w:tr>
      <w:tr>
        <w:tblPrEx>
          <w:tblW w:w="7938" w:type="dxa"/>
          <w:tblInd w:w="1814" w:type="dxa"/>
          <w:tblLayout w:type="fixed"/>
          <w:tblLook w:val="01E0"/>
        </w:tblPrEx>
        <w:trPr>
          <w:cantSplit w:val="0"/>
        </w:trPr>
        <w:tc>
          <w:tcPr>
            <w:tcW w:w="2570" w:type="pct"/>
            <w:tcBorders>
              <w:top w:val="single" w:sz="6" w:space="0" w:color="000000"/>
              <w:bottom w:val="single" w:sz="6" w:space="0" w:color="000000"/>
              <w:right w:val="single" w:sz="6" w:space="0" w:color="000000"/>
            </w:tcBorders>
          </w:tcPr>
          <w:p>
            <w:pPr>
              <w:pStyle w:val="TableText"/>
            </w:pPr>
            <w:r>
              <w:pict>
                <v:shape id="_x0000_i1043" type="#_x0000_t75" style="width:127.5pt;height:24pt">
                  <v:imagedata r:id="rId32" o:title=""/>
                </v:shape>
              </w:pict>
            </w:r>
          </w:p>
        </w:tc>
        <w:tc>
          <w:tcPr>
            <w:tcW w:w="1390" w:type="pct"/>
            <w:tcBorders>
              <w:top w:val="single" w:sz="6" w:space="0" w:color="000000"/>
              <w:bottom w:val="single" w:sz="6" w:space="0" w:color="000000"/>
              <w:right w:val="single" w:sz="6" w:space="0" w:color="000000"/>
            </w:tcBorders>
          </w:tcPr>
          <w:p>
            <w:pPr>
              <w:pStyle w:val="TableText"/>
            </w:pPr>
            <w:r>
              <w:t>Double-sided, single-layered 12 mm gypsum board</w:t>
            </w:r>
          </w:p>
        </w:tc>
        <w:tc>
          <w:tcPr>
            <w:tcW w:w="553" w:type="pct"/>
            <w:tcBorders>
              <w:top w:val="single" w:sz="6" w:space="0" w:color="000000"/>
              <w:bottom w:val="single" w:sz="6" w:space="0" w:color="000000"/>
              <w:right w:val="single" w:sz="6" w:space="0" w:color="000000"/>
            </w:tcBorders>
          </w:tcPr>
          <w:p>
            <w:pPr>
              <w:pStyle w:val="TableText"/>
            </w:pPr>
            <w:r>
              <w:t>42</w:t>
            </w:r>
          </w:p>
        </w:tc>
        <w:tc>
          <w:tcPr>
            <w:tcW w:w="486" w:type="pct"/>
            <w:tcBorders>
              <w:top w:val="single" w:sz="6" w:space="0" w:color="000000"/>
              <w:bottom w:val="single" w:sz="6" w:space="0" w:color="000000"/>
            </w:tcBorders>
          </w:tcPr>
          <w:p>
            <w:pPr>
              <w:pStyle w:val="TableText"/>
            </w:pPr>
            <w:r>
              <w:t>99</w:t>
            </w:r>
          </w:p>
        </w:tc>
      </w:tr>
      <w:tr>
        <w:tblPrEx>
          <w:tblW w:w="7938" w:type="dxa"/>
          <w:tblInd w:w="1814" w:type="dxa"/>
          <w:tblLayout w:type="fixed"/>
          <w:tblLook w:val="01E0"/>
        </w:tblPrEx>
        <w:trPr>
          <w:cantSplit w:val="0"/>
        </w:trPr>
        <w:tc>
          <w:tcPr>
            <w:tcW w:w="2570" w:type="pct"/>
            <w:tcBorders>
              <w:top w:val="single" w:sz="6" w:space="0" w:color="000000"/>
              <w:bottom w:val="single" w:sz="6" w:space="0" w:color="000000"/>
              <w:right w:val="single" w:sz="6" w:space="0" w:color="000000"/>
            </w:tcBorders>
          </w:tcPr>
          <w:p>
            <w:pPr>
              <w:pStyle w:val="TableText"/>
            </w:pPr>
            <w:r>
              <w:pict>
                <v:shape id="_x0000_i1044" type="#_x0000_t75" style="width:127.5pt;height:25.5pt">
                  <v:imagedata r:id="rId33" o:title=""/>
                </v:shape>
              </w:pict>
            </w:r>
          </w:p>
        </w:tc>
        <w:tc>
          <w:tcPr>
            <w:tcW w:w="1390" w:type="pct"/>
            <w:tcBorders>
              <w:top w:val="single" w:sz="6" w:space="0" w:color="000000"/>
              <w:bottom w:val="single" w:sz="6" w:space="0" w:color="000000"/>
              <w:right w:val="single" w:sz="6" w:space="0" w:color="000000"/>
            </w:tcBorders>
          </w:tcPr>
          <w:p>
            <w:pPr>
              <w:pStyle w:val="TableText"/>
            </w:pPr>
            <w:r>
              <w:t>Double-sided, single-layered 12 mm gypsum board with 50 mm fiberglass wool</w:t>
            </w:r>
          </w:p>
        </w:tc>
        <w:tc>
          <w:tcPr>
            <w:tcW w:w="553" w:type="pct"/>
            <w:tcBorders>
              <w:top w:val="single" w:sz="6" w:space="0" w:color="000000"/>
              <w:bottom w:val="single" w:sz="6" w:space="0" w:color="000000"/>
              <w:right w:val="single" w:sz="6" w:space="0" w:color="000000"/>
            </w:tcBorders>
          </w:tcPr>
          <w:p>
            <w:pPr>
              <w:pStyle w:val="TableText"/>
            </w:pPr>
            <w:r>
              <w:t>45</w:t>
            </w:r>
          </w:p>
        </w:tc>
        <w:tc>
          <w:tcPr>
            <w:tcW w:w="486" w:type="pct"/>
            <w:tcBorders>
              <w:top w:val="single" w:sz="6" w:space="0" w:color="000000"/>
              <w:bottom w:val="single" w:sz="6" w:space="0" w:color="000000"/>
            </w:tcBorders>
          </w:tcPr>
          <w:p>
            <w:pPr>
              <w:pStyle w:val="TableText"/>
            </w:pPr>
            <w:r>
              <w:t>99</w:t>
            </w:r>
          </w:p>
        </w:tc>
      </w:tr>
      <w:tr>
        <w:tblPrEx>
          <w:tblW w:w="7938" w:type="dxa"/>
          <w:tblInd w:w="1814" w:type="dxa"/>
          <w:tblLayout w:type="fixed"/>
          <w:tblLook w:val="01E0"/>
        </w:tblPrEx>
        <w:trPr>
          <w:cantSplit w:val="0"/>
        </w:trPr>
        <w:tc>
          <w:tcPr>
            <w:tcW w:w="2570" w:type="pct"/>
            <w:tcBorders>
              <w:top w:val="single" w:sz="6" w:space="0" w:color="000000"/>
              <w:bottom w:val="single" w:sz="6" w:space="0" w:color="000000"/>
              <w:right w:val="single" w:sz="6" w:space="0" w:color="000000"/>
            </w:tcBorders>
          </w:tcPr>
          <w:p>
            <w:pPr>
              <w:pStyle w:val="TableText"/>
            </w:pPr>
            <w:r>
              <w:pict>
                <v:shape id="_x0000_i1045" type="#_x0000_t75" style="width:127.5pt;height:30pt">
                  <v:imagedata r:id="rId34" o:title=""/>
                </v:shape>
              </w:pict>
            </w:r>
          </w:p>
        </w:tc>
        <w:tc>
          <w:tcPr>
            <w:tcW w:w="1390" w:type="pct"/>
            <w:tcBorders>
              <w:top w:val="single" w:sz="6" w:space="0" w:color="000000"/>
              <w:bottom w:val="single" w:sz="6" w:space="0" w:color="000000"/>
              <w:right w:val="single" w:sz="6" w:space="0" w:color="000000"/>
            </w:tcBorders>
          </w:tcPr>
          <w:p>
            <w:pPr>
              <w:pStyle w:val="TableText"/>
            </w:pPr>
            <w:r>
              <w:t>Double-sided, double-layered 12 mm gypsum board</w:t>
            </w:r>
          </w:p>
        </w:tc>
        <w:tc>
          <w:tcPr>
            <w:tcW w:w="553" w:type="pct"/>
            <w:tcBorders>
              <w:top w:val="single" w:sz="6" w:space="0" w:color="000000"/>
              <w:bottom w:val="single" w:sz="6" w:space="0" w:color="000000"/>
              <w:right w:val="single" w:sz="6" w:space="0" w:color="000000"/>
            </w:tcBorders>
          </w:tcPr>
          <w:p>
            <w:pPr>
              <w:pStyle w:val="TableText"/>
            </w:pPr>
            <w:r>
              <w:t>48</w:t>
            </w:r>
          </w:p>
        </w:tc>
        <w:tc>
          <w:tcPr>
            <w:tcW w:w="486" w:type="pct"/>
            <w:tcBorders>
              <w:top w:val="single" w:sz="6" w:space="0" w:color="000000"/>
              <w:bottom w:val="single" w:sz="6" w:space="0" w:color="000000"/>
            </w:tcBorders>
          </w:tcPr>
          <w:p>
            <w:pPr>
              <w:pStyle w:val="TableText"/>
            </w:pPr>
            <w:r>
              <w:t>123</w:t>
            </w:r>
          </w:p>
        </w:tc>
      </w:tr>
      <w:tr>
        <w:tblPrEx>
          <w:tblW w:w="7938" w:type="dxa"/>
          <w:tblInd w:w="1814" w:type="dxa"/>
          <w:tblLayout w:type="fixed"/>
          <w:tblLook w:val="01E0"/>
        </w:tblPrEx>
        <w:trPr>
          <w:cantSplit w:val="0"/>
        </w:trPr>
        <w:tc>
          <w:tcPr>
            <w:tcW w:w="2570" w:type="pct"/>
            <w:tcBorders>
              <w:top w:val="single" w:sz="6" w:space="0" w:color="000000"/>
              <w:bottom w:val="single" w:sz="6" w:space="0" w:color="000000"/>
              <w:right w:val="single" w:sz="6" w:space="0" w:color="000000"/>
            </w:tcBorders>
          </w:tcPr>
          <w:p>
            <w:pPr>
              <w:pStyle w:val="TableText"/>
            </w:pPr>
            <w:r>
              <w:pict>
                <v:shape id="_x0000_i1046" type="#_x0000_t75" style="width:127.5pt;height:27.75pt">
                  <v:imagedata r:id="rId35" o:title=""/>
                </v:shape>
              </w:pict>
            </w:r>
          </w:p>
        </w:tc>
        <w:tc>
          <w:tcPr>
            <w:tcW w:w="1390" w:type="pct"/>
            <w:tcBorders>
              <w:top w:val="single" w:sz="6" w:space="0" w:color="000000"/>
              <w:bottom w:val="single" w:sz="6" w:space="0" w:color="000000"/>
              <w:right w:val="single" w:sz="6" w:space="0" w:color="000000"/>
            </w:tcBorders>
          </w:tcPr>
          <w:p>
            <w:pPr>
              <w:pStyle w:val="TableText"/>
            </w:pPr>
            <w:r>
              <w:t>Double-sided, double-layered 12 mm gypsum board with 50 mm fiberglass wool</w:t>
            </w:r>
          </w:p>
        </w:tc>
        <w:tc>
          <w:tcPr>
            <w:tcW w:w="553" w:type="pct"/>
            <w:tcBorders>
              <w:top w:val="single" w:sz="6" w:space="0" w:color="000000"/>
              <w:bottom w:val="single" w:sz="6" w:space="0" w:color="000000"/>
              <w:right w:val="single" w:sz="6" w:space="0" w:color="000000"/>
            </w:tcBorders>
          </w:tcPr>
          <w:p>
            <w:pPr>
              <w:pStyle w:val="TableText"/>
            </w:pPr>
            <w:r>
              <w:t>51</w:t>
            </w:r>
          </w:p>
        </w:tc>
        <w:tc>
          <w:tcPr>
            <w:tcW w:w="486" w:type="pct"/>
            <w:tcBorders>
              <w:top w:val="single" w:sz="6" w:space="0" w:color="000000"/>
              <w:bottom w:val="single" w:sz="6" w:space="0" w:color="000000"/>
            </w:tcBorders>
          </w:tcPr>
          <w:p>
            <w:pPr>
              <w:pStyle w:val="TableText"/>
            </w:pPr>
            <w:r>
              <w:t>123</w:t>
            </w:r>
          </w:p>
        </w:tc>
      </w:tr>
    </w:tbl>
    <w:p/>
    <w:p>
      <w:r>
        <w:t>In a telepresence conference room, the noise must be less than or equal to 40 dB when all air conditioners and devices are turned off, and must be less than or equal to 43 dB when the fresh air and air conditioning systems are turned on but the doors and windows are closed. Acoustic attenuation measures must be taken on the air conditioner ventilation duct in the ceiling.</w:t>
      </w:r>
    </w:p>
    <w:p>
      <w:r>
        <w:t>When designing SRI, consider the impact of sound amplification in the telepresence room on neighboring rooms and confidentiality of conferences.</w:t>
      </w:r>
    </w:p>
    <w:p>
      <w:r>
        <w:t>Because the average sound pressure level in a telepresence room is 90 dB and the minimum background noise for typical offices is 45 dB, the SRI of telepresence room walls must be 45 dB (90 dB – 45 dB = 45 dB) or higher. If the noise source around the telepresence room is 92 dB, the SRI of room walls must be 49 dB (92 dB – 43 dB = 49 dB) or higher. Sound reduction for doors, windows, and holes in walls is crucial to the wall SRI.</w:t>
      </w:r>
    </w:p>
    <w:bookmarkStart w:id="43" w:name="_EN-US_TOPIC_0000002540893384"/>
    <w:bookmarkEnd w:id="43"/>
    <w:p>
      <w:pPr>
        <w:pStyle w:val="Heading2"/>
      </w:pPr>
      <w:bookmarkStart w:id="44" w:name="_EN-US_TOPIC_0000002540893384-chtext"/>
      <w:bookmarkStart w:id="45" w:name="_Toc256000016"/>
      <w:r>
        <w:t>Ceiling Transformation</w:t>
      </w:r>
      <w:bookmarkEnd w:id="45"/>
      <w:bookmarkEnd w:id="44"/>
    </w:p>
    <w:p>
      <w:r>
        <w:t>Ceiling reconstruction involves style, illumination, sound absorption, fire control, and air conditioning.</w:t>
      </w:r>
    </w:p>
    <w:p>
      <w:pPr>
        <w:pStyle w:val="ItemList"/>
      </w:pPr>
      <w:r>
        <w:t>Style: The ceiling can be in layered cascading or flat style. By adopting sound absorbing materials, the ceiling must maintain a balance between being decorative and sound absorptive.</w:t>
      </w:r>
    </w:p>
    <w:p>
      <w:pPr>
        <w:pStyle w:val="ItemList"/>
      </w:pPr>
      <w:r>
        <w:t xml:space="preserve">Illumination: For details, see </w:t>
      </w:r>
      <w:r>
        <w:fldChar w:fldCharType="begin"/>
      </w:r>
      <w:r>
        <w:instrText>REF _EN-US_TOPIC_0000002571413709 \r \h</w:instrText>
      </w:r>
      <w:r>
        <w:fldChar w:fldCharType="separate"/>
      </w:r>
      <w:r>
        <w:t xml:space="preserve">2.3 </w:t>
      </w:r>
      <w:r>
        <w:fldChar w:fldCharType="end"/>
      </w:r>
      <w:r>
        <w:fldChar w:fldCharType="begin"/>
      </w:r>
      <w:r>
        <w:instrText>REF _EN-US_TOPIC_0000002571413709-chtext \h</w:instrText>
      </w:r>
      <w:r>
        <w:fldChar w:fldCharType="separate"/>
      </w:r>
      <w:r>
        <w:t>Illumination Design</w:t>
      </w:r>
      <w:r>
        <w:fldChar w:fldCharType="end"/>
      </w:r>
      <w:r>
        <w:t>.</w:t>
      </w:r>
    </w:p>
    <w:p>
      <w:pPr>
        <w:pStyle w:val="ItemList"/>
      </w:pPr>
      <w:r>
        <w:t xml:space="preserve">Sound absorption: The sound absorption coefficient of ceiling materials must be 0.5 or higher. Therefore, the materials mentioned in </w:t>
      </w:r>
      <w:r>
        <w:fldChar w:fldCharType="begin"/>
      </w:r>
      <w:r>
        <w:instrText>REF _EN-US_TOPIC_0000002571533673 \r \h</w:instrText>
      </w:r>
      <w:r>
        <w:fldChar w:fldCharType="separate"/>
      </w:r>
      <w:r>
        <w:t xml:space="preserve">2.4.1 </w:t>
      </w:r>
      <w:r>
        <w:fldChar w:fldCharType="end"/>
      </w:r>
      <w:r>
        <w:fldChar w:fldCharType="begin"/>
      </w:r>
      <w:r>
        <w:instrText>REF _EN-US_TOPIC_0000002571533673-chtext \h</w:instrText>
      </w:r>
      <w:r>
        <w:fldChar w:fldCharType="separate"/>
      </w:r>
      <w:r>
        <w:t>Sound Absorption</w:t>
      </w:r>
      <w:r>
        <w:fldChar w:fldCharType="end"/>
      </w:r>
      <w:r>
        <w:t xml:space="preserve"> are recommended.</w:t>
      </w:r>
    </w:p>
    <w:p>
      <w:pPr>
        <w:pStyle w:val="ItemList"/>
      </w:pPr>
      <w:r>
        <w:t>Fire control: The suspended ceiling in a telepresence room must be installed with fire control facilities, such as smoke sensors and fire sprinklers. Do not seal fire control facilities to ensure the safe use of the telepresence room. If the ceiling of the room is already equipped with fire control facilities, ensure that any modifications to the ceiling do not damage them. If possible, do not change their installation locations; adjust the layout of the light fixtures and vents of air conditioners, if required. If location change is involved, ensure that the new location meets construction standards for indoor fire control.</w:t>
      </w:r>
    </w:p>
    <w:p>
      <w:pPr>
        <w:pStyle w:val="ItemList"/>
      </w:pPr>
      <w:r>
        <w:t xml:space="preserve">Air conditioning: For details, see </w:t>
      </w:r>
      <w:r>
        <w:fldChar w:fldCharType="begin"/>
      </w:r>
      <w:r>
        <w:instrText>REF _EN-US_TOPIC_0000002540893370 \r \h</w:instrText>
      </w:r>
      <w:r>
        <w:fldChar w:fldCharType="separate"/>
      </w:r>
      <w:r>
        <w:t xml:space="preserve">2.8 </w:t>
      </w:r>
      <w:r>
        <w:fldChar w:fldCharType="end"/>
      </w:r>
      <w:r>
        <w:fldChar w:fldCharType="begin"/>
      </w:r>
      <w:r>
        <w:instrText>REF _EN-US_TOPIC_0000002540893370-chtext \h</w:instrText>
      </w:r>
      <w:r>
        <w:fldChar w:fldCharType="separate"/>
      </w:r>
      <w:r>
        <w:t>Air Conditioning and Fresh Air Systems</w:t>
      </w:r>
      <w:r>
        <w:fldChar w:fldCharType="end"/>
      </w:r>
      <w:r>
        <w:t>.</w:t>
      </w:r>
    </w:p>
    <w:bookmarkStart w:id="46" w:name="_EN-US_TOPIC_0000002540893716"/>
    <w:bookmarkEnd w:id="46"/>
    <w:p>
      <w:pPr>
        <w:pStyle w:val="Heading2"/>
      </w:pPr>
      <w:bookmarkStart w:id="47" w:name="_EN-US_TOPIC_0000002540893716-chtext"/>
      <w:bookmarkStart w:id="48" w:name="_Toc256000017"/>
      <w:r>
        <w:t>Wall Reconstruction</w:t>
      </w:r>
      <w:bookmarkEnd w:id="48"/>
      <w:bookmarkEnd w:id="47"/>
    </w:p>
    <w:p>
      <w:pPr>
        <w:pStyle w:val="Heading3"/>
        <w:numPr>
          <w:numId w:val="65"/>
        </w:numPr>
      </w:pPr>
      <w:bookmarkStart w:id="49" w:name="_EN-US_TOPIC_0000002540893708-chtext"/>
      <w:bookmarkStart w:id="50" w:name="_Toc256000018"/>
      <w:r>
        <w:t>Wall Color</w:t>
      </w:r>
      <w:bookmarkEnd w:id="50"/>
      <w:bookmarkEnd w:id="49"/>
    </w:p>
    <w:p>
      <w:r>
        <w:t xml:space="preserve">The color of walls in a telepresence room can be wheat or light blue. The background walls of all telepresence rooms under the same contract must use the same color. </w:t>
      </w:r>
      <w:r>
        <w:fldChar w:fldCharType="begin"/>
      </w:r>
      <w:r>
        <w:instrText>REF _table399810245162 \r \h</w:instrText>
      </w:r>
      <w:r>
        <w:fldChar w:fldCharType="separate"/>
      </w:r>
      <w:r>
        <w:t>Table 2-2</w:t>
      </w:r>
      <w:r>
        <w:fldChar w:fldCharType="end"/>
      </w:r>
      <w:r>
        <w:t xml:space="preserve"> lists the colors and their Pantone values.</w:t>
      </w:r>
    </w:p>
    <w:bookmarkStart w:id="51" w:name="_table399810245162"/>
    <w:bookmarkEnd w:id="51"/>
    <w:p>
      <w:pPr>
        <w:pStyle w:val="TableDescription"/>
      </w:pPr>
      <w:r>
        <w:t>Colors and Pantone values</w:t>
      </w:r>
    </w:p>
    <w:tbl>
      <w:tblPr>
        <w:tblStyle w:val="Table"/>
        <w:tblW w:w="7938" w:type="dxa"/>
        <w:tblInd w:w="1814" w:type="dxa"/>
        <w:tblLayout w:type="fixed"/>
        <w:tblLook w:val="01E0"/>
      </w:tblPr>
      <w:tblGrid>
        <w:gridCol w:w="3969"/>
        <w:gridCol w:w="3969"/>
      </w:tblGrid>
      <w:tr>
        <w:tblPrEx>
          <w:tblW w:w="7938" w:type="dxa"/>
          <w:tblInd w:w="1814" w:type="dxa"/>
          <w:tblLayout w:type="fixed"/>
          <w:tblLook w:val="01E0"/>
        </w:tblPrEx>
        <w:trPr>
          <w:cantSplit w:val="0"/>
          <w:tblHeader/>
        </w:trPr>
        <w:tc>
          <w:tcPr>
            <w:tcW w:w="2500" w:type="pct"/>
            <w:tcBorders>
              <w:top w:val="single" w:sz="6" w:space="0" w:color="000000"/>
              <w:bottom w:val="single" w:sz="6" w:space="0" w:color="000000"/>
              <w:right w:val="single" w:sz="6" w:space="0" w:color="000000"/>
            </w:tcBorders>
            <w:shd w:val="clear" w:color="auto" w:fill="D9D9D9"/>
          </w:tcPr>
          <w:p>
            <w:pPr>
              <w:pStyle w:val="TableHeading"/>
            </w:pPr>
            <w:r>
              <w:t>Model</w:t>
            </w:r>
          </w:p>
        </w:tc>
        <w:tc>
          <w:tcPr>
            <w:tcW w:w="2500" w:type="pct"/>
            <w:tcBorders>
              <w:top w:val="single" w:sz="6" w:space="0" w:color="000000"/>
              <w:bottom w:val="single" w:sz="6" w:space="0" w:color="000000"/>
            </w:tcBorders>
            <w:shd w:val="clear" w:color="auto" w:fill="D9D9D9"/>
          </w:tcPr>
          <w:p>
            <w:pPr>
              <w:pStyle w:val="TableHeading"/>
            </w:pPr>
            <w:r>
              <w:t>Color</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Pantone 726C</w:t>
            </w:r>
          </w:p>
          <w:p>
            <w:pPr>
              <w:pStyle w:val="TableText"/>
            </w:pPr>
            <w:r>
              <w:t>(Wheat color)</w:t>
            </w:r>
          </w:p>
        </w:tc>
        <w:tc>
          <w:tcPr>
            <w:tcW w:w="2500" w:type="pct"/>
            <w:tcBorders>
              <w:top w:val="single" w:sz="6" w:space="0" w:color="000000"/>
              <w:bottom w:val="single" w:sz="6" w:space="0" w:color="000000"/>
            </w:tcBorders>
          </w:tcPr>
          <w:p>
            <w:pPr>
              <w:pStyle w:val="TableText"/>
            </w:pPr>
            <w:r>
              <w:pict>
                <v:shape id="_x0000_i1047" type="#_x0000_t75" style="width:78.94pt;height:50pt">
                  <v:imagedata r:id="rId36" o:title=""/>
                </v:shape>
              </w:pic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Pantone 7542C</w:t>
            </w:r>
          </w:p>
          <w:p>
            <w:pPr>
              <w:pStyle w:val="TableText"/>
            </w:pPr>
            <w:r>
              <w:t>(Light blue)</w:t>
            </w:r>
          </w:p>
        </w:tc>
        <w:tc>
          <w:tcPr>
            <w:tcW w:w="2500" w:type="pct"/>
            <w:tcBorders>
              <w:top w:val="single" w:sz="6" w:space="0" w:color="000000"/>
              <w:bottom w:val="single" w:sz="6" w:space="0" w:color="000000"/>
            </w:tcBorders>
          </w:tcPr>
          <w:p>
            <w:pPr>
              <w:pStyle w:val="TableText"/>
            </w:pPr>
            <w:r>
              <w:pict>
                <v:shape id="_x0000_i1048" type="#_x0000_t75" style="width:78.57pt;height:50pt">
                  <v:imagedata r:id="rId37" o:title=""/>
                </v:shape>
              </w:pict>
            </w:r>
          </w:p>
        </w:tc>
      </w:tr>
    </w:tbl>
    <w:p/>
    <w:p>
      <w:pPr>
        <w:pStyle w:val="Heading3"/>
      </w:pPr>
      <w:bookmarkStart w:id="52" w:name="_EN-US_TOPIC_0000002571533643-chtext"/>
      <w:bookmarkStart w:id="53" w:name="_Toc256000019"/>
      <w:r>
        <w:t>Fabric Wall Panels</w:t>
      </w:r>
      <w:bookmarkEnd w:id="53"/>
      <w:bookmarkEnd w:id="52"/>
    </w:p>
    <w:p>
      <w:r>
        <w:t xml:space="preserve">The wall reconstruction includes soundproofing and sound absorption. If soundproofing over the original room meets requirements, acoustic structure can be constructed on existing walls. If soundproofing over the original room does not meet requirements, customers can first construct soundproofing walls by referring to </w:t>
      </w:r>
      <w:r>
        <w:fldChar w:fldCharType="begin"/>
      </w:r>
      <w:r>
        <w:instrText>REF _EN-US_TOPIC_0000002571533675 \r \h</w:instrText>
      </w:r>
      <w:r>
        <w:fldChar w:fldCharType="separate"/>
      </w:r>
      <w:r>
        <w:t xml:space="preserve">2.4.2 </w:t>
      </w:r>
      <w:r>
        <w:fldChar w:fldCharType="end"/>
      </w:r>
      <w:r>
        <w:fldChar w:fldCharType="begin"/>
      </w:r>
      <w:r>
        <w:instrText>REF _EN-US_TOPIC_0000002571533675-chtext \h</w:instrText>
      </w:r>
      <w:r>
        <w:fldChar w:fldCharType="separate"/>
      </w:r>
      <w:r>
        <w:t>Noise Control</w:t>
      </w:r>
      <w:r>
        <w:fldChar w:fldCharType="end"/>
      </w:r>
      <w:r>
        <w:t xml:space="preserve"> and then construct sound absorbing walls. </w:t>
      </w:r>
      <w:r>
        <w:fldChar w:fldCharType="begin"/>
      </w:r>
      <w:r>
        <w:instrText>REF _table1630849 \r \h</w:instrText>
      </w:r>
      <w:r>
        <w:fldChar w:fldCharType="separate"/>
      </w:r>
      <w:r>
        <w:t>Table 2-3</w:t>
      </w:r>
      <w:r>
        <w:fldChar w:fldCharType="end"/>
      </w:r>
      <w:r>
        <w:t xml:space="preserve"> describes several ways to construct a sound absorbing wall.</w:t>
      </w:r>
    </w:p>
    <w:bookmarkStart w:id="54" w:name="_table1630849"/>
    <w:bookmarkEnd w:id="54"/>
    <w:p>
      <w:pPr>
        <w:pStyle w:val="TableDescription"/>
      </w:pPr>
      <w:r>
        <w:t>Ways to construct a sound absorbing wall</w:t>
      </w:r>
    </w:p>
    <w:tbl>
      <w:tblPr>
        <w:tblStyle w:val="Table"/>
        <w:tblW w:w="7938" w:type="dxa"/>
        <w:tblInd w:w="1814" w:type="dxa"/>
        <w:tblLayout w:type="fixed"/>
        <w:tblLook w:val="01E0"/>
      </w:tblPr>
      <w:tblGrid>
        <w:gridCol w:w="3284"/>
        <w:gridCol w:w="3170"/>
        <w:gridCol w:w="1484"/>
      </w:tblGrid>
      <w:tr>
        <w:tblPrEx>
          <w:tblW w:w="7938" w:type="dxa"/>
          <w:tblInd w:w="1814" w:type="dxa"/>
          <w:tblLayout w:type="fixed"/>
          <w:tblLook w:val="01E0"/>
        </w:tblPrEx>
        <w:trPr>
          <w:cantSplit w:val="0"/>
          <w:tblHeader/>
        </w:trPr>
        <w:tc>
          <w:tcPr>
            <w:tcW w:w="2068" w:type="pct"/>
            <w:tcBorders>
              <w:top w:val="single" w:sz="6" w:space="0" w:color="000000"/>
              <w:bottom w:val="single" w:sz="6" w:space="0" w:color="000000"/>
              <w:right w:val="single" w:sz="6" w:space="0" w:color="000000"/>
            </w:tcBorders>
            <w:shd w:val="clear" w:color="auto" w:fill="D9D9D9"/>
          </w:tcPr>
          <w:p>
            <w:pPr>
              <w:pStyle w:val="TableHeading"/>
            </w:pPr>
            <w:r>
              <w:t>Wall with a Fabric Wall Panel</w:t>
            </w:r>
          </w:p>
        </w:tc>
        <w:tc>
          <w:tcPr>
            <w:tcW w:w="1996"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935" w:type="pct"/>
            <w:tcBorders>
              <w:top w:val="single" w:sz="6" w:space="0" w:color="000000"/>
              <w:bottom w:val="single" w:sz="6" w:space="0" w:color="000000"/>
            </w:tcBorders>
            <w:shd w:val="clear" w:color="auto" w:fill="D9D9D9"/>
          </w:tcPr>
          <w:p>
            <w:pPr>
              <w:pStyle w:val="TableHeading"/>
            </w:pPr>
            <w:r>
              <w:t>Application Scenario</w:t>
            </w:r>
          </w:p>
        </w:tc>
      </w:tr>
      <w:tr>
        <w:tblPrEx>
          <w:tblW w:w="7938" w:type="dxa"/>
          <w:tblInd w:w="1814" w:type="dxa"/>
          <w:tblLayout w:type="fixed"/>
          <w:tblLook w:val="01E0"/>
        </w:tblPrEx>
        <w:trPr>
          <w:cantSplit w:val="0"/>
        </w:trPr>
        <w:tc>
          <w:tcPr>
            <w:tcW w:w="2068" w:type="pct"/>
            <w:tcBorders>
              <w:top w:val="single" w:sz="6" w:space="0" w:color="000000"/>
              <w:bottom w:val="single" w:sz="6" w:space="0" w:color="000000"/>
              <w:right w:val="single" w:sz="6" w:space="0" w:color="000000"/>
            </w:tcBorders>
          </w:tcPr>
          <w:p>
            <w:pPr>
              <w:pStyle w:val="TableText"/>
            </w:pPr>
            <w:r>
              <w:pict>
                <v:shape id="_x0000_i1049" type="#_x0000_t75" style="width:187.5pt;height:150pt">
                  <v:imagedata r:id="rId38" o:title=""/>
                </v:shape>
              </w:pict>
            </w:r>
          </w:p>
        </w:tc>
        <w:tc>
          <w:tcPr>
            <w:tcW w:w="1996" w:type="pct"/>
            <w:tcBorders>
              <w:top w:val="single" w:sz="6" w:space="0" w:color="000000"/>
              <w:bottom w:val="single" w:sz="6" w:space="0" w:color="000000"/>
              <w:right w:val="single" w:sz="6" w:space="0" w:color="000000"/>
            </w:tcBorders>
          </w:tcPr>
          <w:p>
            <w:pPr>
              <w:pStyle w:val="ItemListinTable"/>
            </w:pPr>
            <w:r>
              <w:t>Composition: wall, wood or light steel joist, and fabric wall panel</w:t>
            </w:r>
          </w:p>
          <w:p>
            <w:pPr>
              <w:pStyle w:val="ItemListinTable"/>
            </w:pPr>
            <w:r>
              <w:t>The fabric wall panel uses sponge with a thickness of 30 mm (1.18 in.) and a density of 45 kg/M3. The sponge must meet environmental protection level E1, NRC of 0.9 or higher, and fire protection level A requirements. The fabric veneer must meet requirements of fire protection level A, environmental protection level E1, and gram weight of 250 g/m².</w:t>
            </w:r>
          </w:p>
        </w:tc>
        <w:tc>
          <w:tcPr>
            <w:tcW w:w="935" w:type="pct"/>
            <w:tcBorders>
              <w:top w:val="single" w:sz="6" w:space="0" w:color="000000"/>
              <w:bottom w:val="single" w:sz="6" w:space="0" w:color="000000"/>
            </w:tcBorders>
          </w:tcPr>
          <w:p>
            <w:pPr>
              <w:pStyle w:val="TableText"/>
            </w:pPr>
            <w:r>
              <w:t>The SRI of the existing walls is greater than 48 dB, which meets soundproofing requirements.</w:t>
            </w:r>
          </w:p>
        </w:tc>
      </w:tr>
      <w:tr>
        <w:tblPrEx>
          <w:tblW w:w="7938" w:type="dxa"/>
          <w:tblInd w:w="1814" w:type="dxa"/>
          <w:tblLayout w:type="fixed"/>
          <w:tblLook w:val="01E0"/>
        </w:tblPrEx>
        <w:trPr>
          <w:cantSplit w:val="0"/>
        </w:trPr>
        <w:tc>
          <w:tcPr>
            <w:tcW w:w="2068" w:type="pct"/>
            <w:tcBorders>
              <w:top w:val="single" w:sz="6" w:space="0" w:color="000000"/>
              <w:bottom w:val="single" w:sz="6" w:space="0" w:color="000000"/>
              <w:right w:val="single" w:sz="6" w:space="0" w:color="000000"/>
            </w:tcBorders>
          </w:tcPr>
          <w:p>
            <w:pPr>
              <w:pStyle w:val="TableText"/>
            </w:pPr>
            <w:r>
              <w:pict>
                <v:shape id="_x0000_i1050" type="#_x0000_t75" style="width:186pt;height:126.74pt">
                  <v:imagedata r:id="rId39" o:title=""/>
                </v:shape>
              </w:pict>
            </w:r>
          </w:p>
        </w:tc>
        <w:tc>
          <w:tcPr>
            <w:tcW w:w="1996" w:type="pct"/>
            <w:tcBorders>
              <w:top w:val="single" w:sz="6" w:space="0" w:color="000000"/>
              <w:bottom w:val="single" w:sz="6" w:space="0" w:color="000000"/>
              <w:right w:val="single" w:sz="6" w:space="0" w:color="000000"/>
            </w:tcBorders>
          </w:tcPr>
          <w:p>
            <w:pPr>
              <w:pStyle w:val="ItemListinTable"/>
            </w:pPr>
            <w:r>
              <w:t>Composition: specialized soundproofing wall, wood or light steel joist, and fabric wall panel</w:t>
            </w:r>
          </w:p>
          <w:p>
            <w:pPr>
              <w:pStyle w:val="ItemListinTable"/>
            </w:pPr>
            <w:r>
              <w:t>The fabric wall panel uses sponge with a thickness of 30 mm (1.18 in.) and a density of 45 kg/M3. The sponge must meet environmental protection level E1, NRC of 0.9 or higher, and fire protection level A requirements. The fabric veneer must meet requirements of fire protection level A, environmental protection level E1, and gram weight of 250 g/m².</w:t>
            </w:r>
          </w:p>
        </w:tc>
        <w:tc>
          <w:tcPr>
            <w:tcW w:w="935" w:type="pct"/>
            <w:tcBorders>
              <w:top w:val="single" w:sz="6" w:space="0" w:color="000000"/>
              <w:bottom w:val="single" w:sz="6" w:space="0" w:color="000000"/>
            </w:tcBorders>
          </w:tcPr>
          <w:p>
            <w:pPr>
              <w:pStyle w:val="TableText"/>
            </w:pPr>
            <w:r>
              <w:t>Walls are newly constructed and required to provide SRI of higher than 50 dB.</w:t>
            </w:r>
          </w:p>
        </w:tc>
      </w:tr>
      <w:tr>
        <w:tblPrEx>
          <w:tblW w:w="7938" w:type="dxa"/>
          <w:tblInd w:w="1814" w:type="dxa"/>
          <w:tblLayout w:type="fixed"/>
          <w:tblLook w:val="01E0"/>
        </w:tblPrEx>
        <w:trPr>
          <w:cantSplit w:val="0"/>
        </w:trPr>
        <w:tc>
          <w:tcPr>
            <w:tcW w:w="2068" w:type="pct"/>
            <w:tcBorders>
              <w:top w:val="single" w:sz="6" w:space="0" w:color="000000"/>
              <w:bottom w:val="single" w:sz="6" w:space="0" w:color="000000"/>
              <w:right w:val="single" w:sz="6" w:space="0" w:color="000000"/>
            </w:tcBorders>
          </w:tcPr>
          <w:p>
            <w:pPr>
              <w:pStyle w:val="TableText"/>
            </w:pPr>
            <w:r>
              <w:pict>
                <v:shape id="_x0000_i1051" type="#_x0000_t75" style="width:186pt;height:132.76pt">
                  <v:imagedata r:id="rId40" o:title=""/>
                </v:shape>
              </w:pict>
            </w:r>
          </w:p>
        </w:tc>
        <w:tc>
          <w:tcPr>
            <w:tcW w:w="1996" w:type="pct"/>
            <w:tcBorders>
              <w:top w:val="single" w:sz="6" w:space="0" w:color="000000"/>
              <w:bottom w:val="single" w:sz="6" w:space="0" w:color="000000"/>
              <w:right w:val="single" w:sz="6" w:space="0" w:color="000000"/>
            </w:tcBorders>
          </w:tcPr>
          <w:p>
            <w:pPr>
              <w:pStyle w:val="ItemListinTable"/>
            </w:pPr>
            <w:r>
              <w:t>Composition: common soundproofing wall, wool or light steel joist, and fabric wall panel</w:t>
            </w:r>
          </w:p>
          <w:p>
            <w:pPr>
              <w:pStyle w:val="ItemListinTable"/>
            </w:pPr>
            <w:r>
              <w:t>The fabric wall panel uses sponge with a thickness of 30 mm (1.18 in.) and a density of 45 kg/M3. The sponge must meet environmental protection level E1, NRC of 0.9 or higher, and fire protection level A requirements. The fabric veneer must meet requirements of fire protection level A, environmental protection level E1, and gram weight of 250 g/m².</w:t>
            </w:r>
          </w:p>
        </w:tc>
        <w:tc>
          <w:tcPr>
            <w:tcW w:w="935" w:type="pct"/>
            <w:tcBorders>
              <w:top w:val="single" w:sz="6" w:space="0" w:color="000000"/>
              <w:bottom w:val="single" w:sz="6" w:space="0" w:color="000000"/>
            </w:tcBorders>
          </w:tcPr>
          <w:p>
            <w:pPr>
              <w:pStyle w:val="TableText"/>
            </w:pPr>
            <w:r>
              <w:t>Walls are newly constructed and required to provide SRI of higher than 45 dB.</w:t>
            </w:r>
          </w:p>
        </w:tc>
      </w:tr>
    </w:tbl>
    <w:p/>
    <w:p>
      <w:pPr>
        <w:pStyle w:val="Heading3"/>
      </w:pPr>
      <w:bookmarkStart w:id="55" w:name="_EN-US_TOPIC_0000002571413693-chtext"/>
      <w:bookmarkStart w:id="56" w:name="_Toc256000020"/>
      <w:r>
        <w:t>Baseboards</w:t>
      </w:r>
      <w:bookmarkEnd w:id="56"/>
      <w:bookmarkEnd w:id="55"/>
    </w:p>
    <w:p>
      <w:r>
        <w:t>Baseboards must be installed in the telepresence conference room. Install baseboards after carpeting, and ensure that the baseboards cover the carpet edges. The seams of the baseboards must be smooth, and the height and thickness of the baseboards must be consistent. The recommended height of the baseboards is 100 mm.</w:t>
      </w:r>
    </w:p>
    <w:bookmarkStart w:id="57" w:name="_EN-US_TOPIC_0000002571533653"/>
    <w:bookmarkEnd w:id="57"/>
    <w:p>
      <w:pPr>
        <w:pStyle w:val="Heading2"/>
      </w:pPr>
      <w:bookmarkStart w:id="58" w:name="_EN-US_TOPIC_0000002571533653-chtext"/>
      <w:bookmarkStart w:id="59" w:name="_Toc256000021"/>
      <w:r>
        <w:t>Floor Reconstruction</w:t>
      </w:r>
      <w:bookmarkEnd w:id="59"/>
      <w:bookmarkEnd w:id="58"/>
    </w:p>
    <w:p>
      <w:r>
        <w:t>A flame-retardant carpet must be laid in a telepresence room. Flatten the floor before carpeting, and ensure that baseboards cover carpet edges without tilts. To protect the carpet at the entrance, secure the carpet edge using aluminum alloy or antimony edge strips.</w:t>
      </w:r>
    </w:p>
    <w:bookmarkStart w:id="60" w:name="_EN-US_TOPIC_0000002540893370"/>
    <w:bookmarkEnd w:id="60"/>
    <w:p>
      <w:pPr>
        <w:pStyle w:val="Heading2"/>
      </w:pPr>
      <w:bookmarkStart w:id="61" w:name="_EN-US_TOPIC_0000002540893370-chtext"/>
      <w:bookmarkStart w:id="62" w:name="_Toc256000022"/>
      <w:r>
        <w:t>Air Conditioning and Fresh Air Systems</w:t>
      </w:r>
      <w:bookmarkEnd w:id="62"/>
      <w:bookmarkEnd w:id="61"/>
    </w:p>
    <w:p>
      <w:pPr>
        <w:pStyle w:val="Heading3"/>
        <w:numPr>
          <w:numId w:val="70"/>
        </w:numPr>
      </w:pPr>
      <w:bookmarkStart w:id="63" w:name="_EN-US_TOPIC_0000002571413701-chtext"/>
      <w:bookmarkStart w:id="64" w:name="_Toc256000023"/>
      <w:r>
        <w:t>Central Air Conditioning System</w:t>
      </w:r>
      <w:bookmarkEnd w:id="64"/>
      <w:bookmarkEnd w:id="63"/>
    </w:p>
    <w:p>
      <w:r>
        <w:t>A telepresence room must be equipped with a centralized or decentralized air conditioning system. The central air conditioning system that contains fan coil units (FCUs) and fresh air system (FAS) is recommended.</w:t>
      </w:r>
    </w:p>
    <w:p>
      <w:r>
        <w:t>Layout 1: Install the air conditioning system vents in the five square white aluminum alloy grilles on the suspended ceiling. The dimensions of the air vents are 600 mm x 600 mm (23.62 in. x 23.62 in.). Deploy an air return vent and an exhaust vent for the FCU in the grilles near the foreground wall. This ensures that hot air generated within the room is recycled through the air return vent and some stale hot air is dissipated through the exhaust vent of the FAS. Deploy a fresh air intake vent and an air supply vent for the FCU in the grilles near the background wall. In this way, the conditioned and fresh air can be brought into the telepresence room to blow air against the background wall.</w:t>
      </w:r>
    </w:p>
    <w:p>
      <w:r>
        <w:t>Layout 2: Place the air vents, including the air supply/return vents of the air conditioning system and the fresh air intake vent and exhaust vent within the suspended ceiling and away from the direct blowing position above the seats. These vents appear in rectangular format for aesthetics purpose. Customize the dimensions of the air vents based on the onsite ceiling and keep a certain distance between the air conditioning vents and the fresh air vents.</w:t>
      </w:r>
    </w:p>
    <w:p>
      <w:pPr>
        <w:pStyle w:val="Heading3"/>
      </w:pPr>
      <w:bookmarkStart w:id="65" w:name="_EN-US_TOPIC_0000002571413711-chtext"/>
      <w:bookmarkStart w:id="66" w:name="_Toc256000024"/>
      <w:r>
        <w:t>Local Air Conditioning System</w:t>
      </w:r>
      <w:bookmarkEnd w:id="66"/>
      <w:bookmarkEnd w:id="65"/>
    </w:p>
    <w:p>
      <w:r>
        <w:t xml:space="preserve">It is recommended that an independent air conditioning system be deployed for a telepresence room that has no central air conditioning system. The air conditioner within the independent air conditioning system must have a cooling capacity of at least 3.0 P and noise less than 45 dB. A ceiling-mounted, wall-mounted, or floor-stand air conditioner can be used. </w:t>
      </w:r>
      <w:r>
        <w:fldChar w:fldCharType="begin"/>
      </w:r>
      <w:r>
        <w:instrText>REF _table31348233 \r \h</w:instrText>
      </w:r>
      <w:r>
        <w:fldChar w:fldCharType="separate"/>
      </w:r>
      <w:r>
        <w:t>Table 2-4</w:t>
      </w:r>
      <w:r>
        <w:fldChar w:fldCharType="end"/>
      </w:r>
      <w:r>
        <w:t xml:space="preserve"> and </w:t>
      </w:r>
      <w:r>
        <w:fldChar w:fldCharType="begin"/>
      </w:r>
      <w:r>
        <w:instrText>REF _table18071101 \r \h</w:instrText>
      </w:r>
      <w:r>
        <w:fldChar w:fldCharType="separate"/>
      </w:r>
      <w:r>
        <w:t>Table 2-5</w:t>
      </w:r>
      <w:r>
        <w:fldChar w:fldCharType="end"/>
      </w:r>
      <w:r>
        <w:t xml:space="preserve"> list the cooling requirements for the local air conditioning system.</w:t>
      </w:r>
    </w:p>
    <w:bookmarkStart w:id="67" w:name="_table31348233"/>
    <w:bookmarkEnd w:id="67"/>
    <w:p>
      <w:pPr>
        <w:pStyle w:val="TableDescription"/>
      </w:pPr>
      <w:r>
        <w:t>Cooling requirements for a conference room housing a single-row table with six seats</w:t>
      </w:r>
    </w:p>
    <w:tbl>
      <w:tblPr>
        <w:tblStyle w:val="Table"/>
        <w:tblW w:w="7938" w:type="dxa"/>
        <w:tblInd w:w="1814" w:type="dxa"/>
        <w:tblLayout w:type="fixed"/>
        <w:tblLook w:val="01E0"/>
      </w:tblPr>
      <w:tblGrid>
        <w:gridCol w:w="4248"/>
        <w:gridCol w:w="1999"/>
        <w:gridCol w:w="1691"/>
      </w:tblGrid>
      <w:tr>
        <w:tblPrEx>
          <w:tblW w:w="7938" w:type="dxa"/>
          <w:tblInd w:w="1814" w:type="dxa"/>
          <w:tblLayout w:type="fixed"/>
          <w:tblLook w:val="01E0"/>
        </w:tblPrEx>
        <w:trPr>
          <w:cantSplit w:val="0"/>
          <w:tblHeader/>
        </w:trPr>
        <w:tc>
          <w:tcPr>
            <w:tcW w:w="2676" w:type="pct"/>
            <w:tcBorders>
              <w:top w:val="single" w:sz="6" w:space="0" w:color="000000"/>
              <w:bottom w:val="single" w:sz="6" w:space="0" w:color="000000"/>
              <w:right w:val="single" w:sz="6" w:space="0" w:color="000000"/>
            </w:tcBorders>
            <w:shd w:val="clear" w:color="auto" w:fill="D9D9D9"/>
          </w:tcPr>
          <w:p>
            <w:pPr>
              <w:pStyle w:val="TableHeading"/>
            </w:pPr>
            <w:r>
              <w:t>Heat Source</w:t>
            </w:r>
          </w:p>
        </w:tc>
        <w:tc>
          <w:tcPr>
            <w:tcW w:w="1259" w:type="pct"/>
            <w:tcBorders>
              <w:top w:val="single" w:sz="6" w:space="0" w:color="000000"/>
              <w:bottom w:val="single" w:sz="6" w:space="0" w:color="000000"/>
              <w:right w:val="single" w:sz="6" w:space="0" w:color="000000"/>
            </w:tcBorders>
            <w:shd w:val="clear" w:color="auto" w:fill="D9D9D9"/>
          </w:tcPr>
          <w:p>
            <w:pPr>
              <w:pStyle w:val="TableHeading"/>
            </w:pPr>
            <w:r>
              <w:t>Required Cooling Capacity (W)</w:t>
            </w:r>
          </w:p>
        </w:tc>
        <w:tc>
          <w:tcPr>
            <w:tcW w:w="1065" w:type="pct"/>
            <w:tcBorders>
              <w:top w:val="single" w:sz="6" w:space="0" w:color="000000"/>
              <w:bottom w:val="single" w:sz="6" w:space="0" w:color="000000"/>
            </w:tcBorders>
            <w:shd w:val="clear" w:color="auto" w:fill="D9D9D9"/>
          </w:tcPr>
          <w:p>
            <w:pPr>
              <w:pStyle w:val="TableHeading"/>
            </w:pPr>
            <w:r>
              <w:t>Remarks</w:t>
            </w:r>
          </w:p>
        </w:tc>
      </w:tr>
      <w:tr>
        <w:tblPrEx>
          <w:tblW w:w="7938" w:type="dxa"/>
          <w:tblInd w:w="1814" w:type="dxa"/>
          <w:tblLayout w:type="fixed"/>
          <w:tblLook w:val="01E0"/>
        </w:tblPrEx>
        <w:trPr>
          <w:cantSplit w:val="0"/>
        </w:trPr>
        <w:tc>
          <w:tcPr>
            <w:tcW w:w="2676" w:type="pct"/>
            <w:tcBorders>
              <w:top w:val="single" w:sz="6" w:space="0" w:color="000000"/>
              <w:bottom w:val="single" w:sz="6" w:space="0" w:color="000000"/>
              <w:right w:val="single" w:sz="6" w:space="0" w:color="000000"/>
            </w:tcBorders>
          </w:tcPr>
          <w:p>
            <w:pPr>
              <w:pStyle w:val="TableText"/>
            </w:pPr>
            <w:r>
              <w:t>Human body</w:t>
            </w:r>
          </w:p>
        </w:tc>
        <w:tc>
          <w:tcPr>
            <w:tcW w:w="1259" w:type="pct"/>
            <w:tcBorders>
              <w:top w:val="single" w:sz="6" w:space="0" w:color="000000"/>
              <w:bottom w:val="single" w:sz="6" w:space="0" w:color="000000"/>
              <w:right w:val="single" w:sz="6" w:space="0" w:color="000000"/>
            </w:tcBorders>
          </w:tcPr>
          <w:p>
            <w:pPr>
              <w:pStyle w:val="TableText"/>
            </w:pPr>
            <w:r>
              <w:t>130 x 10 = 1300</w:t>
            </w:r>
          </w:p>
        </w:tc>
        <w:tc>
          <w:tcPr>
            <w:tcW w:w="1065"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2676" w:type="pct"/>
            <w:tcBorders>
              <w:top w:val="single" w:sz="6" w:space="0" w:color="000000"/>
              <w:bottom w:val="single" w:sz="6" w:space="0" w:color="000000"/>
              <w:right w:val="single" w:sz="6" w:space="0" w:color="000000"/>
            </w:tcBorders>
          </w:tcPr>
          <w:p>
            <w:pPr>
              <w:pStyle w:val="TableText"/>
            </w:pPr>
            <w:r>
              <w:t>Illumination</w:t>
            </w:r>
          </w:p>
        </w:tc>
        <w:tc>
          <w:tcPr>
            <w:tcW w:w="1259" w:type="pct"/>
            <w:tcBorders>
              <w:top w:val="single" w:sz="6" w:space="0" w:color="000000"/>
              <w:bottom w:val="single" w:sz="6" w:space="0" w:color="000000"/>
              <w:right w:val="single" w:sz="6" w:space="0" w:color="000000"/>
            </w:tcBorders>
          </w:tcPr>
          <w:p>
            <w:pPr>
              <w:pStyle w:val="TableText"/>
            </w:pPr>
            <w:r>
              <w:t>About 850</w:t>
            </w:r>
          </w:p>
        </w:tc>
        <w:tc>
          <w:tcPr>
            <w:tcW w:w="1065"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2676" w:type="pct"/>
            <w:tcBorders>
              <w:top w:val="single" w:sz="6" w:space="0" w:color="000000"/>
              <w:bottom w:val="single" w:sz="6" w:space="0" w:color="000000"/>
              <w:right w:val="single" w:sz="6" w:space="0" w:color="000000"/>
            </w:tcBorders>
          </w:tcPr>
          <w:p>
            <w:pPr>
              <w:pStyle w:val="TableText"/>
            </w:pPr>
            <w:r>
              <w:t>Devices of the single-row table with six seats</w:t>
            </w:r>
          </w:p>
        </w:tc>
        <w:tc>
          <w:tcPr>
            <w:tcW w:w="1259" w:type="pct"/>
            <w:tcBorders>
              <w:top w:val="single" w:sz="6" w:space="0" w:color="000000"/>
              <w:bottom w:val="single" w:sz="6" w:space="0" w:color="000000"/>
              <w:right w:val="single" w:sz="6" w:space="0" w:color="000000"/>
            </w:tcBorders>
          </w:tcPr>
          <w:p>
            <w:pPr>
              <w:pStyle w:val="TableText"/>
            </w:pPr>
            <w:r>
              <w:t>1500</w:t>
            </w:r>
          </w:p>
        </w:tc>
        <w:tc>
          <w:tcPr>
            <w:tcW w:w="1065"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2676" w:type="pct"/>
            <w:tcBorders>
              <w:top w:val="single" w:sz="6" w:space="0" w:color="000000"/>
              <w:bottom w:val="single" w:sz="6" w:space="0" w:color="000000"/>
              <w:right w:val="single" w:sz="6" w:space="0" w:color="000000"/>
            </w:tcBorders>
          </w:tcPr>
          <w:p>
            <w:pPr>
              <w:pStyle w:val="TableText"/>
            </w:pPr>
            <w:r>
              <w:t>Reduction by 5°C in 10 minutes</w:t>
            </w:r>
          </w:p>
        </w:tc>
        <w:tc>
          <w:tcPr>
            <w:tcW w:w="1259" w:type="pct"/>
            <w:tcBorders>
              <w:top w:val="single" w:sz="6" w:space="0" w:color="000000"/>
              <w:bottom w:val="single" w:sz="6" w:space="0" w:color="000000"/>
              <w:right w:val="single" w:sz="6" w:space="0" w:color="000000"/>
            </w:tcBorders>
          </w:tcPr>
          <w:p>
            <w:pPr>
              <w:pStyle w:val="TableText"/>
            </w:pPr>
            <w:r>
              <w:t>1200</w:t>
            </w:r>
          </w:p>
        </w:tc>
        <w:tc>
          <w:tcPr>
            <w:tcW w:w="1065" w:type="pct"/>
            <w:tcBorders>
              <w:top w:val="single" w:sz="6" w:space="0" w:color="000000"/>
              <w:bottom w:val="single" w:sz="6" w:space="0" w:color="000000"/>
            </w:tcBorders>
          </w:tcPr>
          <w:p>
            <w:pPr>
              <w:pStyle w:val="TableText"/>
            </w:pPr>
            <w:r>
              <w:t>For a telepresence room, the room temperature must decrease by 5°C every 10 minutes.</w:t>
            </w:r>
          </w:p>
        </w:tc>
      </w:tr>
    </w:tbl>
    <w:p/>
    <w:p>
      <w:pPr>
        <w:pStyle w:val="NotesHeading"/>
        <w:rPr>
          <w:rFonts w:hint="eastAsia"/>
        </w:rPr>
      </w:pPr>
      <w:r>
        <w:rPr>
          <w:rFonts w:hint="eastAsia"/>
          <w:color w:val="339966"/>
        </w:rPr>
        <w:pict>
          <v:shape id="_x0000_i1052" type="#_x0000_t75" style="width:54.08pt;height:19pt">
            <v:imagedata r:id="rId15" o:title="note"/>
          </v:shape>
        </w:pict>
      </w:r>
    </w:p>
    <w:p>
      <w:pPr>
        <w:pStyle w:val="NotesText"/>
      </w:pPr>
      <w:r>
        <w:t>The preset fresh air system requires 2000 W for operation and a cooling capacity of 7000 W or higher is needed. Therefore, install a 3P air conditioner.</w:t>
      </w:r>
    </w:p>
    <w:bookmarkStart w:id="68" w:name="_table18071101"/>
    <w:bookmarkEnd w:id="68"/>
    <w:p>
      <w:pPr>
        <w:pStyle w:val="TableDescription"/>
      </w:pPr>
      <w:r>
        <w:t>Cooling requirements of a conference room housing dual-row tables with 18 seats</w:t>
      </w:r>
    </w:p>
    <w:tbl>
      <w:tblPr>
        <w:tblStyle w:val="Table"/>
        <w:tblW w:w="7938" w:type="dxa"/>
        <w:tblInd w:w="1814" w:type="dxa"/>
        <w:tblLayout w:type="fixed"/>
        <w:tblLook w:val="01E0"/>
      </w:tblPr>
      <w:tblGrid>
        <w:gridCol w:w="2602"/>
        <w:gridCol w:w="2640"/>
        <w:gridCol w:w="2696"/>
      </w:tblGrid>
      <w:tr>
        <w:tblPrEx>
          <w:tblW w:w="7938" w:type="dxa"/>
          <w:tblInd w:w="1814" w:type="dxa"/>
          <w:tblLayout w:type="fixed"/>
          <w:tblLook w:val="01E0"/>
        </w:tblPrEx>
        <w:trPr>
          <w:cantSplit w:val="0"/>
          <w:tblHeader/>
        </w:trPr>
        <w:tc>
          <w:tcPr>
            <w:tcW w:w="1639" w:type="pct"/>
            <w:tcBorders>
              <w:top w:val="single" w:sz="6" w:space="0" w:color="000000"/>
              <w:bottom w:val="single" w:sz="6" w:space="0" w:color="000000"/>
              <w:right w:val="single" w:sz="6" w:space="0" w:color="000000"/>
            </w:tcBorders>
            <w:shd w:val="clear" w:color="auto" w:fill="D9D9D9"/>
          </w:tcPr>
          <w:p>
            <w:pPr>
              <w:pStyle w:val="TableHeading"/>
            </w:pPr>
            <w:r>
              <w:t>Heat Source</w:t>
            </w:r>
          </w:p>
        </w:tc>
        <w:tc>
          <w:tcPr>
            <w:tcW w:w="1663" w:type="pct"/>
            <w:tcBorders>
              <w:top w:val="single" w:sz="6" w:space="0" w:color="000000"/>
              <w:bottom w:val="single" w:sz="6" w:space="0" w:color="000000"/>
              <w:right w:val="single" w:sz="6" w:space="0" w:color="000000"/>
            </w:tcBorders>
            <w:shd w:val="clear" w:color="auto" w:fill="D9D9D9"/>
          </w:tcPr>
          <w:p>
            <w:pPr>
              <w:pStyle w:val="TableHeading"/>
            </w:pPr>
            <w:r>
              <w:t>Required Cooling Capacity (W)</w:t>
            </w:r>
          </w:p>
        </w:tc>
        <w:tc>
          <w:tcPr>
            <w:tcW w:w="1698" w:type="pct"/>
            <w:tcBorders>
              <w:top w:val="single" w:sz="6" w:space="0" w:color="000000"/>
              <w:bottom w:val="single" w:sz="6" w:space="0" w:color="000000"/>
            </w:tcBorders>
            <w:shd w:val="clear" w:color="auto" w:fill="D9D9D9"/>
          </w:tcPr>
          <w:p>
            <w:pPr>
              <w:pStyle w:val="TableHeading"/>
            </w:pPr>
            <w:r>
              <w:t>Remarks</w:t>
            </w:r>
          </w:p>
        </w:tc>
      </w:tr>
      <w:tr>
        <w:tblPrEx>
          <w:tblW w:w="7938" w:type="dxa"/>
          <w:tblInd w:w="1814" w:type="dxa"/>
          <w:tblLayout w:type="fixed"/>
          <w:tblLook w:val="01E0"/>
        </w:tblPrEx>
        <w:trPr>
          <w:cantSplit w:val="0"/>
        </w:trPr>
        <w:tc>
          <w:tcPr>
            <w:tcW w:w="1639" w:type="pct"/>
            <w:tcBorders>
              <w:top w:val="single" w:sz="6" w:space="0" w:color="000000"/>
              <w:bottom w:val="single" w:sz="6" w:space="0" w:color="000000"/>
              <w:right w:val="single" w:sz="6" w:space="0" w:color="000000"/>
            </w:tcBorders>
          </w:tcPr>
          <w:p>
            <w:pPr>
              <w:pStyle w:val="TableText"/>
            </w:pPr>
            <w:r>
              <w:t>Human body</w:t>
            </w:r>
          </w:p>
        </w:tc>
        <w:tc>
          <w:tcPr>
            <w:tcW w:w="1663" w:type="pct"/>
            <w:tcBorders>
              <w:top w:val="single" w:sz="6" w:space="0" w:color="000000"/>
              <w:bottom w:val="single" w:sz="6" w:space="0" w:color="000000"/>
              <w:right w:val="single" w:sz="6" w:space="0" w:color="000000"/>
            </w:tcBorders>
          </w:tcPr>
          <w:p>
            <w:pPr>
              <w:pStyle w:val="TableText"/>
            </w:pPr>
            <w:r>
              <w:t>130 x 18 = 2340</w:t>
            </w:r>
          </w:p>
        </w:tc>
        <w:tc>
          <w:tcPr>
            <w:tcW w:w="1698"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639" w:type="pct"/>
            <w:tcBorders>
              <w:top w:val="single" w:sz="6" w:space="0" w:color="000000"/>
              <w:bottom w:val="single" w:sz="6" w:space="0" w:color="000000"/>
              <w:right w:val="single" w:sz="6" w:space="0" w:color="000000"/>
            </w:tcBorders>
          </w:tcPr>
          <w:p>
            <w:pPr>
              <w:pStyle w:val="TableText"/>
            </w:pPr>
            <w:r>
              <w:t>Illumination</w:t>
            </w:r>
          </w:p>
        </w:tc>
        <w:tc>
          <w:tcPr>
            <w:tcW w:w="1663" w:type="pct"/>
            <w:tcBorders>
              <w:top w:val="single" w:sz="6" w:space="0" w:color="000000"/>
              <w:bottom w:val="single" w:sz="6" w:space="0" w:color="000000"/>
              <w:right w:val="single" w:sz="6" w:space="0" w:color="000000"/>
            </w:tcBorders>
          </w:tcPr>
          <w:p>
            <w:pPr>
              <w:pStyle w:val="TableText"/>
            </w:pPr>
            <w:r>
              <w:t>About 1400</w:t>
            </w:r>
          </w:p>
        </w:tc>
        <w:tc>
          <w:tcPr>
            <w:tcW w:w="1698"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639" w:type="pct"/>
            <w:tcBorders>
              <w:top w:val="single" w:sz="6" w:space="0" w:color="000000"/>
              <w:bottom w:val="single" w:sz="6" w:space="0" w:color="000000"/>
              <w:right w:val="single" w:sz="6" w:space="0" w:color="000000"/>
            </w:tcBorders>
          </w:tcPr>
          <w:p>
            <w:pPr>
              <w:pStyle w:val="TableText"/>
            </w:pPr>
            <w:r>
              <w:t>Devices of the dual-row tables with 18 seats</w:t>
            </w:r>
          </w:p>
        </w:tc>
        <w:tc>
          <w:tcPr>
            <w:tcW w:w="1663" w:type="pct"/>
            <w:tcBorders>
              <w:top w:val="single" w:sz="6" w:space="0" w:color="000000"/>
              <w:bottom w:val="single" w:sz="6" w:space="0" w:color="000000"/>
              <w:right w:val="single" w:sz="6" w:space="0" w:color="000000"/>
            </w:tcBorders>
          </w:tcPr>
          <w:p>
            <w:pPr>
              <w:pStyle w:val="TableText"/>
            </w:pPr>
            <w:r>
              <w:t>2500</w:t>
            </w:r>
          </w:p>
        </w:tc>
        <w:tc>
          <w:tcPr>
            <w:tcW w:w="1698"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1639" w:type="pct"/>
            <w:tcBorders>
              <w:top w:val="single" w:sz="6" w:space="0" w:color="000000"/>
              <w:bottom w:val="single" w:sz="6" w:space="0" w:color="000000"/>
              <w:right w:val="single" w:sz="6" w:space="0" w:color="000000"/>
            </w:tcBorders>
          </w:tcPr>
          <w:p>
            <w:pPr>
              <w:pStyle w:val="TableText"/>
            </w:pPr>
            <w:r>
              <w:t>Reduction by 5°C in 10 minutes</w:t>
            </w:r>
          </w:p>
        </w:tc>
        <w:tc>
          <w:tcPr>
            <w:tcW w:w="1663" w:type="pct"/>
            <w:tcBorders>
              <w:top w:val="single" w:sz="6" w:space="0" w:color="000000"/>
              <w:bottom w:val="single" w:sz="6" w:space="0" w:color="000000"/>
              <w:right w:val="single" w:sz="6" w:space="0" w:color="000000"/>
            </w:tcBorders>
          </w:tcPr>
          <w:p>
            <w:pPr>
              <w:pStyle w:val="TableText"/>
            </w:pPr>
            <w:r>
              <w:t>2100</w:t>
            </w:r>
          </w:p>
        </w:tc>
        <w:tc>
          <w:tcPr>
            <w:tcW w:w="1698" w:type="pct"/>
            <w:tcBorders>
              <w:top w:val="single" w:sz="6" w:space="0" w:color="000000"/>
              <w:bottom w:val="single" w:sz="6" w:space="0" w:color="000000"/>
            </w:tcBorders>
          </w:tcPr>
          <w:p>
            <w:pPr>
              <w:pStyle w:val="TableText"/>
            </w:pPr>
            <w:r>
              <w:t>For a telepresence room, the room temperature must reduce by 5°C every 10 minutes.</w:t>
            </w:r>
          </w:p>
        </w:tc>
      </w:tr>
    </w:tbl>
    <w:p/>
    <w:p>
      <w:pPr>
        <w:pStyle w:val="NotesHeading"/>
        <w:rPr>
          <w:rFonts w:hint="eastAsia"/>
        </w:rPr>
      </w:pPr>
      <w:r>
        <w:rPr>
          <w:rFonts w:hint="eastAsia"/>
          <w:color w:val="339966"/>
        </w:rPr>
        <w:pict>
          <v:shape id="_x0000_i1053" type="#_x0000_t75" style="width:54.08pt;height:19pt">
            <v:imagedata r:id="rId15" o:title="note"/>
          </v:shape>
        </w:pict>
      </w:r>
    </w:p>
    <w:p>
      <w:pPr>
        <w:pStyle w:val="NotesText"/>
      </w:pPr>
      <w:r>
        <w:t>The preserved fresh air system requires 2000 W for operation and a cooling capacity of 10000 W or higher is needed. Therefore, install a 4P air conditioner.</w:t>
      </w:r>
    </w:p>
    <w:p>
      <w:pPr>
        <w:pStyle w:val="Heading3"/>
      </w:pPr>
      <w:bookmarkStart w:id="69" w:name="_EN-US_TOPIC_0000002540893368-chtext"/>
      <w:bookmarkStart w:id="70" w:name="_Toc256000025"/>
      <w:r>
        <w:t>Fresh Air System</w:t>
      </w:r>
      <w:bookmarkEnd w:id="70"/>
      <w:bookmarkEnd w:id="69"/>
    </w:p>
    <w:p>
      <w:r>
        <w:t>A telepresence room must be equipped with a fresh air system. The amount of fresh air circulated in the room must meet country-specific indoor standards (China's indoor standard: ≥ 30 m</w:t>
      </w:r>
      <w:r>
        <w:rPr>
          <w:vertAlign w:val="superscript"/>
        </w:rPr>
        <w:t>3</w:t>
      </w:r>
      <w:r>
        <w:t>/h per person). The fresh air system must be independently controlled to provide fresh air and cooling all day.</w:t>
      </w:r>
    </w:p>
    <w:p>
      <w:r>
        <w:t xml:space="preserve">If the telepresence room does not have a fresh air system, adopt the solutions described in </w:t>
      </w:r>
      <w:r>
        <w:fldChar w:fldCharType="begin"/>
      </w:r>
      <w:r>
        <w:instrText>REF _table51298140 \r \h</w:instrText>
      </w:r>
      <w:r>
        <w:fldChar w:fldCharType="separate"/>
      </w:r>
      <w:r>
        <w:t>Table 2-6</w:t>
      </w:r>
      <w:r>
        <w:fldChar w:fldCharType="end"/>
      </w:r>
      <w:r>
        <w:t xml:space="preserve"> to supply fresh air while maintaining the quietness in the room.</w:t>
      </w:r>
    </w:p>
    <w:bookmarkStart w:id="71" w:name="_table51298140"/>
    <w:bookmarkEnd w:id="71"/>
    <w:p>
      <w:pPr>
        <w:pStyle w:val="TableDescription"/>
      </w:pPr>
      <w:r>
        <w:t>Solutions when no fresh air system is provided</w:t>
      </w:r>
    </w:p>
    <w:tbl>
      <w:tblPr>
        <w:tblStyle w:val="Table"/>
        <w:tblW w:w="7938" w:type="dxa"/>
        <w:tblInd w:w="1814" w:type="dxa"/>
        <w:tblLayout w:type="fixed"/>
        <w:tblLook w:val="01E0"/>
      </w:tblPr>
      <w:tblGrid>
        <w:gridCol w:w="1924"/>
        <w:gridCol w:w="4090"/>
        <w:gridCol w:w="1924"/>
      </w:tblGrid>
      <w:tr>
        <w:tblPrEx>
          <w:tblW w:w="7938" w:type="dxa"/>
          <w:tblInd w:w="1814" w:type="dxa"/>
          <w:tblLayout w:type="fixed"/>
          <w:tblLook w:val="01E0"/>
        </w:tblPrEx>
        <w:trPr>
          <w:cantSplit w:val="0"/>
          <w:tblHeader/>
        </w:trPr>
        <w:tc>
          <w:tcPr>
            <w:tcW w:w="1212" w:type="pct"/>
            <w:tcBorders>
              <w:top w:val="single" w:sz="6" w:space="0" w:color="000000"/>
              <w:bottom w:val="single" w:sz="6" w:space="0" w:color="000000"/>
              <w:right w:val="single" w:sz="6" w:space="0" w:color="000000"/>
            </w:tcBorders>
            <w:shd w:val="clear" w:color="auto" w:fill="D9D9D9"/>
          </w:tcPr>
          <w:p>
            <w:pPr>
              <w:pStyle w:val="TableHeading"/>
            </w:pPr>
            <w:r>
              <w:t>Environment</w:t>
            </w:r>
          </w:p>
        </w:tc>
        <w:tc>
          <w:tcPr>
            <w:tcW w:w="2576"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1212" w:type="pct"/>
            <w:tcBorders>
              <w:top w:val="single" w:sz="6" w:space="0" w:color="000000"/>
              <w:bottom w:val="single" w:sz="6" w:space="0" w:color="000000"/>
            </w:tcBorders>
            <w:shd w:val="clear" w:color="auto" w:fill="D9D9D9"/>
          </w:tcPr>
          <w:p>
            <w:pPr>
              <w:pStyle w:val="TableHeading"/>
            </w:pPr>
            <w:r>
              <w:t>Remarks</w:t>
            </w:r>
          </w:p>
        </w:tc>
      </w:tr>
      <w:tr>
        <w:tblPrEx>
          <w:tblW w:w="7938" w:type="dxa"/>
          <w:tblInd w:w="1814" w:type="dxa"/>
          <w:tblLayout w:type="fixed"/>
          <w:tblLook w:val="01E0"/>
        </w:tblPrEx>
        <w:trPr>
          <w:cantSplit w:val="0"/>
        </w:trPr>
        <w:tc>
          <w:tcPr>
            <w:tcW w:w="1212" w:type="pct"/>
            <w:tcBorders>
              <w:top w:val="single" w:sz="6" w:space="0" w:color="000000"/>
              <w:bottom w:val="single" w:sz="6" w:space="0" w:color="000000"/>
              <w:right w:val="single" w:sz="6" w:space="0" w:color="000000"/>
            </w:tcBorders>
          </w:tcPr>
          <w:p>
            <w:pPr>
              <w:pStyle w:val="TableText"/>
            </w:pPr>
            <w:r>
              <w:t xml:space="preserve">Ventilated conference rooms with windows but without the fresh air system </w:t>
            </w:r>
          </w:p>
        </w:tc>
        <w:tc>
          <w:tcPr>
            <w:tcW w:w="2576" w:type="pct"/>
            <w:tcBorders>
              <w:top w:val="single" w:sz="6" w:space="0" w:color="000000"/>
              <w:bottom w:val="single" w:sz="6" w:space="0" w:color="000000"/>
              <w:right w:val="single" w:sz="6" w:space="0" w:color="000000"/>
            </w:tcBorders>
          </w:tcPr>
          <w:p>
            <w:pPr>
              <w:pStyle w:val="ItemStepinTable"/>
              <w:numPr>
                <w:ilvl w:val="8"/>
                <w:numId w:val="43"/>
              </w:numPr>
            </w:pPr>
            <w:r>
              <w:t>Deploy an independent ventilation system that consists of a silent blower.</w:t>
            </w:r>
          </w:p>
          <w:p>
            <w:pPr>
              <w:pStyle w:val="ItemStepinTable"/>
              <w:numPr>
                <w:ilvl w:val="8"/>
                <w:numId w:val="43"/>
              </w:numPr>
            </w:pPr>
            <w:r>
              <w:t>Specifications of the blower:</w:t>
            </w:r>
          </w:p>
          <w:p>
            <w:pPr>
              <w:pStyle w:val="TableText"/>
            </w:pPr>
            <w:r>
              <w:t>High: ≥ 500 m</w:t>
            </w:r>
            <w:r>
              <w:rPr>
                <w:vertAlign w:val="superscript"/>
              </w:rPr>
              <w:t>3</w:t>
            </w:r>
            <w:r>
              <w:t>/h; noise: ≤ 35 dB(A)</w:t>
            </w:r>
          </w:p>
          <w:p>
            <w:pPr>
              <w:pStyle w:val="TableText"/>
            </w:pPr>
            <w:r>
              <w:t>Low: ≥ 400 m</w:t>
            </w:r>
            <w:r>
              <w:rPr>
                <w:vertAlign w:val="superscript"/>
              </w:rPr>
              <w:t>3</w:t>
            </w:r>
            <w:r>
              <w:t>/h; noise: ≤ 30 dB(A)</w:t>
            </w:r>
          </w:p>
          <w:p>
            <w:pPr>
              <w:pStyle w:val="TableText"/>
            </w:pPr>
            <w:r>
              <w:t>Install the blower on the ceiling of the corridor and extend its exhaust duct to the telepresence room. The duct outlet is located on the suspended ceiling next to the equipment cabinet in the conference room.</w:t>
            </w:r>
          </w:p>
        </w:tc>
        <w:tc>
          <w:tcPr>
            <w:tcW w:w="1212" w:type="pct"/>
            <w:vMerge w:val="restart"/>
            <w:tcBorders>
              <w:top w:val="single" w:sz="6" w:space="0" w:color="000000"/>
              <w:bottom w:val="single" w:sz="6" w:space="0" w:color="000000"/>
            </w:tcBorders>
          </w:tcPr>
          <w:p>
            <w:pPr>
              <w:pStyle w:val="TableText"/>
            </w:pPr>
            <w:r>
              <w:t>Select the specific model based on the site situation and recommendations from the ventilation system suppliers.</w:t>
            </w:r>
          </w:p>
        </w:tc>
      </w:tr>
      <w:tr>
        <w:tblPrEx>
          <w:tblW w:w="7938" w:type="dxa"/>
          <w:tblInd w:w="1814" w:type="dxa"/>
          <w:tblLayout w:type="fixed"/>
          <w:tblLook w:val="01E0"/>
        </w:tblPrEx>
        <w:trPr>
          <w:cantSplit w:val="0"/>
        </w:trPr>
        <w:tc>
          <w:tcPr>
            <w:tcW w:w="1212" w:type="pct"/>
            <w:tcBorders>
              <w:top w:val="single" w:sz="6" w:space="0" w:color="000000"/>
              <w:bottom w:val="single" w:sz="6" w:space="0" w:color="000000"/>
              <w:right w:val="single" w:sz="6" w:space="0" w:color="000000"/>
            </w:tcBorders>
          </w:tcPr>
          <w:p>
            <w:pPr>
              <w:pStyle w:val="TableText"/>
            </w:pPr>
            <w:r>
              <w:t>Stuffy conference room without windows or the fresh air system</w:t>
            </w:r>
          </w:p>
        </w:tc>
        <w:tc>
          <w:tcPr>
            <w:tcW w:w="2576" w:type="pct"/>
            <w:tcBorders>
              <w:top w:val="single" w:sz="6" w:space="0" w:color="000000"/>
              <w:bottom w:val="single" w:sz="6" w:space="0" w:color="000000"/>
              <w:right w:val="single" w:sz="6" w:space="0" w:color="000000"/>
            </w:tcBorders>
          </w:tcPr>
          <w:p>
            <w:pPr>
              <w:pStyle w:val="ItemStepinTable"/>
              <w:numPr>
                <w:ilvl w:val="8"/>
                <w:numId w:val="44"/>
              </w:numPr>
            </w:pPr>
            <w:r>
              <w:t>Deploy an independent ventilation and fresh air system that consists of a total heat exchanger.</w:t>
            </w:r>
          </w:p>
          <w:p>
            <w:pPr>
              <w:pStyle w:val="ItemStepinTable"/>
              <w:numPr>
                <w:ilvl w:val="8"/>
                <w:numId w:val="44"/>
              </w:numPr>
            </w:pPr>
            <w:r>
              <w:t>Specifications of the total heat exchanger:</w:t>
            </w:r>
          </w:p>
          <w:p>
            <w:pPr>
              <w:pStyle w:val="TableText"/>
            </w:pPr>
            <w:r>
              <w:t>High: 500 m</w:t>
            </w:r>
            <w:r>
              <w:rPr>
                <w:vertAlign w:val="superscript"/>
              </w:rPr>
              <w:t>3</w:t>
            </w:r>
            <w:r>
              <w:t>/h; noise: ≤ 37 dB(A)</w:t>
            </w:r>
          </w:p>
          <w:p>
            <w:pPr>
              <w:pStyle w:val="TableText"/>
            </w:pPr>
            <w:r>
              <w:t>Low: 300 m</w:t>
            </w:r>
            <w:r>
              <w:rPr>
                <w:vertAlign w:val="superscript"/>
              </w:rPr>
              <w:t>3</w:t>
            </w:r>
            <w:r>
              <w:t>/h; noise: ≤ 34 dB(A)</w:t>
            </w:r>
          </w:p>
          <w:p>
            <w:pPr>
              <w:pStyle w:val="ItemStepinTable"/>
              <w:numPr>
                <w:ilvl w:val="8"/>
                <w:numId w:val="45"/>
              </w:numPr>
            </w:pPr>
            <w:r>
              <w:t>Install the total heat exchanger above corridor. Extend the exhaust and fresh air ducts into the telepresence room, and the air exhaust and supply vents to the outdoors.</w:t>
            </w:r>
          </w:p>
          <w:p>
            <w:pPr>
              <w:pStyle w:val="ItemStepinTable"/>
              <w:numPr>
                <w:ilvl w:val="8"/>
                <w:numId w:val="45"/>
              </w:numPr>
            </w:pPr>
            <w:r>
              <w:t>Add an air purifier if required.</w:t>
            </w:r>
          </w:p>
        </w:tc>
        <w:tc>
          <w:tcPr>
            <w:tcW w:w="360" w:type="dxa"/>
            <w:vMerge/>
          </w:tcPr>
          <w:p>
            <w:pPr>
              <w:pStyle w:val="TableText"/>
            </w:pPr>
          </w:p>
        </w:tc>
      </w:tr>
    </w:tbl>
    <w:p/>
    <w:bookmarkStart w:id="72" w:name="_EN-US_TOPIC_0000002571413691"/>
    <w:bookmarkEnd w:id="72"/>
    <w:p>
      <w:pPr>
        <w:pStyle w:val="Heading2"/>
      </w:pPr>
      <w:bookmarkStart w:id="73" w:name="_EN-US_TOPIC_0000002571413691-chtext"/>
      <w:bookmarkStart w:id="74" w:name="_Toc256000026"/>
      <w:r>
        <w:t>Power Supply</w:t>
      </w:r>
      <w:bookmarkEnd w:id="74"/>
      <w:bookmarkEnd w:id="73"/>
    </w:p>
    <w:p>
      <w:pPr>
        <w:pStyle w:val="Heading3"/>
        <w:numPr>
          <w:numId w:val="74"/>
        </w:numPr>
      </w:pPr>
      <w:bookmarkStart w:id="75" w:name="_EN-US_TOPIC_0000002658764203-chtext"/>
      <w:bookmarkStart w:id="76" w:name="_Toc256000027"/>
      <w:r>
        <w:t>Power Supply</w:t>
      </w:r>
      <w:bookmarkEnd w:id="76"/>
      <w:bookmarkEnd w:id="75"/>
    </w:p>
    <w:p>
      <w:r>
        <w:t>A telepresence conference room requires four independent power supply systems. The first one is used to supply power to the lighting system. The second one is used to supply power to the telepresence system. The third one is used for the telepresence system to control devices that require long-term power supply. The fourth one is used to power devices such as air conditioners.</w:t>
      </w:r>
    </w:p>
    <w:p>
      <w:r>
        <w:t xml:space="preserve">The telepresence system requires one 16 A socket (for devices inside the media wall) and one 10 A socket (for devices inside the media wall that require long-term power supply). A 16 A socket can also be reserved as backup. </w:t>
      </w:r>
    </w:p>
    <w:p>
      <w:pPr>
        <w:pStyle w:val="FigureDescription"/>
      </w:pPr>
      <w:r>
        <w:t>Power supply</w:t>
      </w:r>
    </w:p>
    <w:p>
      <w:pPr>
        <w:pStyle w:val="Figure"/>
      </w:pPr>
      <w:r>
        <w:pict>
          <v:shape id="_x0000_i1054" type="#_x0000_t75" style="width:393.75pt;height:285.75pt">
            <v:imagedata r:id="rId41" o:title=""/>
          </v:shape>
        </w:pict>
      </w:r>
    </w:p>
    <w:p/>
    <w:p>
      <w:r>
        <w:t>In a conference room with six seats in a single row, the power consumption of the telepresence equipment does not exceed 3072.5 W, and the power supply for the illumination system is at least 720 W.</w:t>
      </w:r>
    </w:p>
    <w:p>
      <w:r>
        <w:t>In a conference room with 18 seats in two rows, the power consumption of the telepresence equipment does not exceed 3492.5 W, and the power supply for the illumination system is at least 1080 W.</w:t>
      </w:r>
    </w:p>
    <w:p>
      <w:r>
        <w:t>At least three wall outlets shall be installed behind the media wall, centered and positioned 300 mm above the floor. The power socket specifications shall comply with local standards.</w:t>
      </w:r>
    </w:p>
    <w:p>
      <w:r>
        <w:t>The telepresence system must be powered by two independent sockets. The other end of the plug is controlled by a circuit breaker, which can be turned off during holidays to completely power off the system.</w:t>
      </w:r>
    </w:p>
    <w:p>
      <w:pPr>
        <w:pStyle w:val="Heading3"/>
      </w:pPr>
      <w:bookmarkStart w:id="77" w:name="_EN-US_TOPIC_0000002658763293-chtext"/>
      <w:bookmarkStart w:id="78" w:name="_Toc256000028"/>
      <w:r>
        <w:t>Power Grounding</w:t>
      </w:r>
      <w:bookmarkEnd w:id="78"/>
      <w:bookmarkEnd w:id="77"/>
    </w:p>
    <w:p>
      <w:r>
        <w:t>The media wall uses dedicated protective grounding. The standard yellow-green PE ground cable is used to connect the device enclosure. During construction, the dedicated ground bolt on the device enclosure must be connected. Paint and rust on the contact surface must be polished in advance to ensure good conductivity. Flat washers and spring washers must be used to prevent loosening. Metal electrical devices must be connected to a three-hole socket that meets the requirements and grounded through the dedicated ground cable of the building. It is prohibited to use the neutral wire or water pipe as the ground cable.</w:t>
      </w:r>
    </w:p>
    <w:p>
      <w:r>
        <w:t>In addition, switches or fuses must not be installed on the ground cable. The cabinet door and cabinet body must be connected using short jumper wires. The copper-core yellow-green ground cable must be used in compliance with the specifications to prevent loose or incorrect connections and ensure electrical safety.</w:t>
      </w:r>
    </w:p>
    <w:bookmarkStart w:id="79" w:name="_EN-US_TOPIC_0000002571533649"/>
    <w:bookmarkEnd w:id="79"/>
    <w:p>
      <w:pPr>
        <w:pStyle w:val="Heading2"/>
      </w:pPr>
      <w:bookmarkStart w:id="80" w:name="_EN-US_TOPIC_0000002571533649-chtext"/>
      <w:bookmarkStart w:id="81" w:name="_Toc256000029"/>
      <w:r>
        <w:t>Network</w:t>
      </w:r>
      <w:bookmarkEnd w:id="81"/>
      <w:bookmarkEnd w:id="80"/>
    </w:p>
    <w:p>
      <w:r>
        <w:t>At least one RJ45 network port must be reserved in the telepresence room. It is recommended that two RJ45 network ports be reserved. At least one RJ45 network port must be reserved on the front wall to meet the network access requirements of the telepresence system, and one RJ45 network port must be reserved on the wall on the right side of the device to meet other network access requirements. The network bandwidth must meet the access requirement of 6 Mbit/s per screen.</w:t>
      </w:r>
    </w:p>
    <w:p>
      <w:pPr>
        <w:pStyle w:val="FigureDescription"/>
      </w:pPr>
      <w:r>
        <w:t>Network</w:t>
      </w:r>
    </w:p>
    <w:p>
      <w:pPr>
        <w:pStyle w:val="Figure"/>
      </w:pPr>
      <w:r>
        <w:pict>
          <v:shape id="_x0000_i1055" type="#_x0000_t75" style="width:393.75pt;height:284.25pt">
            <v:imagedata r:id="rId42" o:title=""/>
          </v:shape>
        </w:pict>
      </w:r>
    </w:p>
    <w:p/>
    <w:bookmarkStart w:id="82" w:name="_EN-US_TOPIC_0000002540893706"/>
    <w:bookmarkEnd w:id="82"/>
    <w:p>
      <w:pPr>
        <w:pStyle w:val="Heading2"/>
      </w:pPr>
      <w:bookmarkStart w:id="83" w:name="_EN-US_TOPIC_0000002540893706-chtext"/>
      <w:bookmarkStart w:id="84" w:name="_Toc256000030"/>
      <w:r>
        <w:t>Indoor Air Quality</w:t>
      </w:r>
      <w:bookmarkEnd w:id="84"/>
      <w:bookmarkEnd w:id="83"/>
    </w:p>
    <w:p>
      <w:r>
        <w:t>A telepresence room is enclosed video conferencing space. To provide a comfortable environment for efficient communication, the indoor air must be clean, which imposes high requirements on decoration materials.</w:t>
      </w:r>
    </w:p>
    <w:p>
      <w:r>
        <w:t>The following are requirements for decoration materials used in Huawei telepresence rooms:</w:t>
      </w:r>
    </w:p>
    <w:p>
      <w:pPr>
        <w:pStyle w:val="ItemStep"/>
        <w:numPr>
          <w:ilvl w:val="0"/>
          <w:numId w:val="46"/>
        </w:numPr>
      </w:pPr>
      <w:r>
        <w:t>According to the 10 standards for decoration and refurbishment materials on hazardous substance emission in China, materials that emit hazardous substances beyond the specified limits cannot be used in telepresence rooms. If the materials do not meet the requirements, they must be treated before being used in telepresence rooms.</w:t>
      </w:r>
    </w:p>
    <w:p>
      <w:pPr>
        <w:pStyle w:val="ItemStep"/>
        <w:numPr>
          <w:ilvl w:val="0"/>
          <w:numId w:val="46"/>
        </w:numPr>
      </w:pPr>
      <w:r>
        <w:t xml:space="preserve">According to the </w:t>
      </w:r>
      <w:r>
        <w:rPr>
          <w:i/>
        </w:rPr>
        <w:t>GB50325-2020 Code for Indoor Environmental Pollution Control of Civil Construction Projects</w:t>
      </w:r>
      <w:r>
        <w:t xml:space="preserve"> and the </w:t>
      </w:r>
      <w:r>
        <w:rPr>
          <w:i/>
        </w:rPr>
        <w:t>Environmental Air Quality Standards</w:t>
      </w:r>
      <w:r>
        <w:t xml:space="preserve"> developed by China's National Health Commission, the limits of harmful substances such as radon (Rn-222), formaldehyde, ammonia, benzene, and total volatile organic compounds (TVOCs) in telepresence rooms after decoration must be accepted according to Class I standards. A total of seven items are tested (toluene and xylene are added in the 2020 version). The acceptance limits are as follows (mg/m³; radon is measured in Bq/m³):</w:t>
      </w:r>
    </w:p>
    <w:p>
      <w:pPr>
        <w:pStyle w:val="TableDescription"/>
      </w:pPr>
      <w:r>
        <w:t>Sources and control standards for main indoor air pollutants</w:t>
      </w:r>
    </w:p>
    <w:tbl>
      <w:tblPr>
        <w:tblStyle w:val="Table"/>
        <w:tblW w:w="7938" w:type="dxa"/>
        <w:tblInd w:w="1814" w:type="dxa"/>
        <w:tblLayout w:type="fixed"/>
        <w:tblLook w:val="01E0"/>
      </w:tblPr>
      <w:tblGrid>
        <w:gridCol w:w="854"/>
        <w:gridCol w:w="802"/>
        <w:gridCol w:w="929"/>
        <w:gridCol w:w="5353"/>
      </w:tblGrid>
      <w:tr>
        <w:tblPrEx>
          <w:tblW w:w="7938" w:type="dxa"/>
          <w:tblInd w:w="1814" w:type="dxa"/>
          <w:tblLayout w:type="fixed"/>
          <w:tblLook w:val="01E0"/>
        </w:tblPrEx>
        <w:trPr>
          <w:cantSplit w:val="0"/>
          <w:tblHeader/>
        </w:trPr>
        <w:tc>
          <w:tcPr>
            <w:tcW w:w="538" w:type="pct"/>
            <w:tcBorders>
              <w:top w:val="single" w:sz="6" w:space="0" w:color="000000"/>
              <w:bottom w:val="single" w:sz="6" w:space="0" w:color="000000"/>
              <w:right w:val="single" w:sz="6" w:space="0" w:color="000000"/>
            </w:tcBorders>
            <w:shd w:val="clear" w:color="auto" w:fill="D9D9D9"/>
          </w:tcPr>
          <w:p>
            <w:pPr>
              <w:pStyle w:val="TableHeading"/>
            </w:pPr>
            <w:r>
              <w:t>Contaminants</w:t>
            </w:r>
          </w:p>
        </w:tc>
        <w:tc>
          <w:tcPr>
            <w:tcW w:w="505" w:type="pct"/>
            <w:tcBorders>
              <w:top w:val="single" w:sz="6" w:space="0" w:color="000000"/>
              <w:bottom w:val="single" w:sz="6" w:space="0" w:color="000000"/>
              <w:right w:val="single" w:sz="6" w:space="0" w:color="000000"/>
            </w:tcBorders>
            <w:shd w:val="clear" w:color="auto" w:fill="D9D9D9"/>
          </w:tcPr>
          <w:p>
            <w:pPr>
              <w:pStyle w:val="TableHeading"/>
            </w:pPr>
            <w:r>
              <w:t>Class I Building</w:t>
            </w:r>
          </w:p>
        </w:tc>
        <w:tc>
          <w:tcPr>
            <w:tcW w:w="585" w:type="pct"/>
            <w:tcBorders>
              <w:top w:val="single" w:sz="6" w:space="0" w:color="000000"/>
              <w:bottom w:val="single" w:sz="6" w:space="0" w:color="000000"/>
              <w:right w:val="single" w:sz="6" w:space="0" w:color="000000"/>
            </w:tcBorders>
            <w:shd w:val="clear" w:color="auto" w:fill="D9D9D9"/>
          </w:tcPr>
          <w:p>
            <w:pPr>
              <w:pStyle w:val="TableHeading"/>
            </w:pPr>
            <w:r>
              <w:t>Class II Building</w:t>
            </w:r>
          </w:p>
        </w:tc>
        <w:tc>
          <w:tcPr>
            <w:tcW w:w="3373" w:type="pct"/>
            <w:tcBorders>
              <w:top w:val="single" w:sz="6" w:space="0" w:color="000000"/>
              <w:bottom w:val="single" w:sz="6" w:space="0" w:color="000000"/>
            </w:tcBorders>
            <w:shd w:val="clear" w:color="auto" w:fill="D9D9D9"/>
          </w:tcPr>
          <w:p>
            <w:pPr>
              <w:pStyle w:val="TableHeading"/>
            </w:pPr>
            <w:r>
              <w:t>Main Source</w:t>
            </w:r>
          </w:p>
        </w:tc>
      </w:tr>
      <w:tr>
        <w:tblPrEx>
          <w:tblW w:w="7938" w:type="dxa"/>
          <w:tblInd w:w="1814" w:type="dxa"/>
          <w:tblLayout w:type="fixed"/>
          <w:tblLook w:val="01E0"/>
        </w:tblPrEx>
        <w:trPr>
          <w:cantSplit w:val="0"/>
        </w:trPr>
        <w:tc>
          <w:tcPr>
            <w:tcW w:w="538" w:type="pct"/>
            <w:tcBorders>
              <w:top w:val="single" w:sz="6" w:space="0" w:color="000000"/>
              <w:bottom w:val="single" w:sz="6" w:space="0" w:color="000000"/>
              <w:right w:val="single" w:sz="6" w:space="0" w:color="000000"/>
            </w:tcBorders>
          </w:tcPr>
          <w:p>
            <w:pPr>
              <w:pStyle w:val="TableText"/>
            </w:pPr>
            <w:r>
              <w:t>Formaldehyde</w:t>
            </w:r>
          </w:p>
        </w:tc>
        <w:tc>
          <w:tcPr>
            <w:tcW w:w="505" w:type="pct"/>
            <w:tcBorders>
              <w:top w:val="single" w:sz="6" w:space="0" w:color="000000"/>
              <w:bottom w:val="single" w:sz="6" w:space="0" w:color="000000"/>
              <w:right w:val="single" w:sz="6" w:space="0" w:color="000000"/>
            </w:tcBorders>
          </w:tcPr>
          <w:p>
            <w:pPr>
              <w:pStyle w:val="TableText"/>
            </w:pPr>
            <w:r>
              <w:t>≤0.07</w:t>
            </w:r>
          </w:p>
        </w:tc>
        <w:tc>
          <w:tcPr>
            <w:tcW w:w="585" w:type="pct"/>
            <w:tcBorders>
              <w:top w:val="single" w:sz="6" w:space="0" w:color="000000"/>
              <w:bottom w:val="single" w:sz="6" w:space="0" w:color="000000"/>
              <w:right w:val="single" w:sz="6" w:space="0" w:color="000000"/>
            </w:tcBorders>
          </w:tcPr>
          <w:p>
            <w:pPr>
              <w:pStyle w:val="TableText"/>
            </w:pPr>
            <w:r>
              <w:t>≤0.08</w:t>
            </w:r>
          </w:p>
        </w:tc>
        <w:tc>
          <w:tcPr>
            <w:tcW w:w="3373" w:type="pct"/>
            <w:tcBorders>
              <w:top w:val="single" w:sz="6" w:space="0" w:color="000000"/>
              <w:bottom w:val="single" w:sz="6" w:space="0" w:color="000000"/>
            </w:tcBorders>
          </w:tcPr>
          <w:p>
            <w:pPr>
              <w:pStyle w:val="TableText"/>
            </w:pPr>
            <w:r>
              <w:t>Man-made boards, adhesives, coatings, and furniture.</w:t>
            </w:r>
          </w:p>
        </w:tc>
      </w:tr>
      <w:tr>
        <w:tblPrEx>
          <w:tblW w:w="7938" w:type="dxa"/>
          <w:tblInd w:w="1814" w:type="dxa"/>
          <w:tblLayout w:type="fixed"/>
          <w:tblLook w:val="01E0"/>
        </w:tblPrEx>
        <w:trPr>
          <w:cantSplit w:val="0"/>
        </w:trPr>
        <w:tc>
          <w:tcPr>
            <w:tcW w:w="538" w:type="pct"/>
            <w:tcBorders>
              <w:top w:val="single" w:sz="6" w:space="0" w:color="000000"/>
              <w:bottom w:val="single" w:sz="6" w:space="0" w:color="000000"/>
              <w:right w:val="single" w:sz="6" w:space="0" w:color="000000"/>
            </w:tcBorders>
          </w:tcPr>
          <w:p>
            <w:pPr>
              <w:pStyle w:val="TableText"/>
            </w:pPr>
            <w:r>
              <w:t>Benzene</w:t>
            </w:r>
          </w:p>
        </w:tc>
        <w:tc>
          <w:tcPr>
            <w:tcW w:w="505" w:type="pct"/>
            <w:tcBorders>
              <w:top w:val="single" w:sz="6" w:space="0" w:color="000000"/>
              <w:bottom w:val="single" w:sz="6" w:space="0" w:color="000000"/>
              <w:right w:val="single" w:sz="6" w:space="0" w:color="000000"/>
            </w:tcBorders>
          </w:tcPr>
          <w:p>
            <w:pPr>
              <w:pStyle w:val="TableText"/>
            </w:pPr>
            <w:r>
              <w:t>≤0.06</w:t>
            </w:r>
          </w:p>
        </w:tc>
        <w:tc>
          <w:tcPr>
            <w:tcW w:w="585" w:type="pct"/>
            <w:tcBorders>
              <w:top w:val="single" w:sz="6" w:space="0" w:color="000000"/>
              <w:bottom w:val="single" w:sz="6" w:space="0" w:color="000000"/>
              <w:right w:val="single" w:sz="6" w:space="0" w:color="000000"/>
            </w:tcBorders>
          </w:tcPr>
          <w:p>
            <w:pPr>
              <w:pStyle w:val="TableText"/>
            </w:pPr>
            <w:r>
              <w:t>≤0.09</w:t>
            </w:r>
          </w:p>
        </w:tc>
        <w:tc>
          <w:tcPr>
            <w:tcW w:w="3373" w:type="pct"/>
            <w:tcBorders>
              <w:top w:val="single" w:sz="6" w:space="0" w:color="000000"/>
              <w:bottom w:val="single" w:sz="6" w:space="0" w:color="000000"/>
            </w:tcBorders>
          </w:tcPr>
          <w:p>
            <w:pPr>
              <w:pStyle w:val="TableText"/>
            </w:pPr>
            <w:r>
              <w:t>Solvent-based paints, adhesives, and thinners.</w:t>
            </w:r>
          </w:p>
        </w:tc>
      </w:tr>
      <w:tr>
        <w:tblPrEx>
          <w:tblW w:w="7938" w:type="dxa"/>
          <w:tblInd w:w="1814" w:type="dxa"/>
          <w:tblLayout w:type="fixed"/>
          <w:tblLook w:val="01E0"/>
        </w:tblPrEx>
        <w:trPr>
          <w:cantSplit w:val="0"/>
        </w:trPr>
        <w:tc>
          <w:tcPr>
            <w:tcW w:w="538" w:type="pct"/>
            <w:tcBorders>
              <w:top w:val="single" w:sz="6" w:space="0" w:color="000000"/>
              <w:bottom w:val="single" w:sz="6" w:space="0" w:color="000000"/>
              <w:right w:val="single" w:sz="6" w:space="0" w:color="000000"/>
            </w:tcBorders>
          </w:tcPr>
          <w:p>
            <w:pPr>
              <w:pStyle w:val="TableText"/>
            </w:pPr>
            <w:r>
              <w:t>Toluene</w:t>
            </w:r>
          </w:p>
        </w:tc>
        <w:tc>
          <w:tcPr>
            <w:tcW w:w="505" w:type="pct"/>
            <w:tcBorders>
              <w:top w:val="single" w:sz="6" w:space="0" w:color="000000"/>
              <w:bottom w:val="single" w:sz="6" w:space="0" w:color="000000"/>
              <w:right w:val="single" w:sz="6" w:space="0" w:color="000000"/>
            </w:tcBorders>
          </w:tcPr>
          <w:p>
            <w:pPr>
              <w:pStyle w:val="TableText"/>
            </w:pPr>
            <w:r>
              <w:t>≤0.15</w:t>
            </w:r>
          </w:p>
        </w:tc>
        <w:tc>
          <w:tcPr>
            <w:tcW w:w="585" w:type="pct"/>
            <w:tcBorders>
              <w:top w:val="single" w:sz="6" w:space="0" w:color="000000"/>
              <w:bottom w:val="single" w:sz="6" w:space="0" w:color="000000"/>
              <w:right w:val="single" w:sz="6" w:space="0" w:color="000000"/>
            </w:tcBorders>
          </w:tcPr>
          <w:p>
            <w:pPr>
              <w:pStyle w:val="TableText"/>
            </w:pPr>
            <w:r>
              <w:t>≤0.20</w:t>
            </w:r>
          </w:p>
        </w:tc>
        <w:tc>
          <w:tcPr>
            <w:tcW w:w="3373" w:type="pct"/>
            <w:tcBorders>
              <w:top w:val="single" w:sz="6" w:space="0" w:color="000000"/>
              <w:bottom w:val="single" w:sz="6" w:space="0" w:color="000000"/>
            </w:tcBorders>
          </w:tcPr>
          <w:p>
            <w:pPr>
              <w:pStyle w:val="TableText"/>
            </w:pPr>
            <w:r>
              <w:t>Solvents, paints, and composite materials.</w:t>
            </w:r>
          </w:p>
        </w:tc>
      </w:tr>
      <w:tr>
        <w:tblPrEx>
          <w:tblW w:w="7938" w:type="dxa"/>
          <w:tblInd w:w="1814" w:type="dxa"/>
          <w:tblLayout w:type="fixed"/>
          <w:tblLook w:val="01E0"/>
        </w:tblPrEx>
        <w:trPr>
          <w:cantSplit w:val="0"/>
        </w:trPr>
        <w:tc>
          <w:tcPr>
            <w:tcW w:w="538" w:type="pct"/>
            <w:tcBorders>
              <w:top w:val="single" w:sz="6" w:space="0" w:color="000000"/>
              <w:bottom w:val="single" w:sz="6" w:space="0" w:color="000000"/>
              <w:right w:val="single" w:sz="6" w:space="0" w:color="000000"/>
            </w:tcBorders>
          </w:tcPr>
          <w:p>
            <w:pPr>
              <w:pStyle w:val="TableText"/>
            </w:pPr>
            <w:r>
              <w:t>Xylene</w:t>
            </w:r>
          </w:p>
        </w:tc>
        <w:tc>
          <w:tcPr>
            <w:tcW w:w="505" w:type="pct"/>
            <w:tcBorders>
              <w:top w:val="single" w:sz="6" w:space="0" w:color="000000"/>
              <w:bottom w:val="single" w:sz="6" w:space="0" w:color="000000"/>
              <w:right w:val="single" w:sz="6" w:space="0" w:color="000000"/>
            </w:tcBorders>
          </w:tcPr>
          <w:p>
            <w:pPr>
              <w:pStyle w:val="TableText"/>
            </w:pPr>
            <w:r>
              <w:t>≤0.20</w:t>
            </w:r>
          </w:p>
        </w:tc>
        <w:tc>
          <w:tcPr>
            <w:tcW w:w="585" w:type="pct"/>
            <w:tcBorders>
              <w:top w:val="single" w:sz="6" w:space="0" w:color="000000"/>
              <w:bottom w:val="single" w:sz="6" w:space="0" w:color="000000"/>
              <w:right w:val="single" w:sz="6" w:space="0" w:color="000000"/>
            </w:tcBorders>
          </w:tcPr>
          <w:p>
            <w:pPr>
              <w:pStyle w:val="TableText"/>
            </w:pPr>
            <w:r>
              <w:t>≤0.20</w:t>
            </w:r>
          </w:p>
        </w:tc>
        <w:tc>
          <w:tcPr>
            <w:tcW w:w="3373" w:type="pct"/>
            <w:tcBorders>
              <w:top w:val="single" w:sz="6" w:space="0" w:color="000000"/>
              <w:bottom w:val="single" w:sz="6" w:space="0" w:color="000000"/>
            </w:tcBorders>
          </w:tcPr>
          <w:p>
            <w:pPr>
              <w:pStyle w:val="TableText"/>
            </w:pPr>
            <w:r>
              <w:t>Solvents, paints, and composite materials.</w:t>
            </w:r>
          </w:p>
        </w:tc>
      </w:tr>
      <w:tr>
        <w:tblPrEx>
          <w:tblW w:w="7938" w:type="dxa"/>
          <w:tblInd w:w="1814" w:type="dxa"/>
          <w:tblLayout w:type="fixed"/>
          <w:tblLook w:val="01E0"/>
        </w:tblPrEx>
        <w:trPr>
          <w:cantSplit w:val="0"/>
        </w:trPr>
        <w:tc>
          <w:tcPr>
            <w:tcW w:w="538" w:type="pct"/>
            <w:tcBorders>
              <w:top w:val="single" w:sz="6" w:space="0" w:color="000000"/>
              <w:bottom w:val="single" w:sz="6" w:space="0" w:color="000000"/>
              <w:right w:val="single" w:sz="6" w:space="0" w:color="000000"/>
            </w:tcBorders>
          </w:tcPr>
          <w:p>
            <w:pPr>
              <w:pStyle w:val="TableText"/>
            </w:pPr>
            <w:r>
              <w:t>Ammonia</w:t>
            </w:r>
          </w:p>
        </w:tc>
        <w:tc>
          <w:tcPr>
            <w:tcW w:w="505" w:type="pct"/>
            <w:tcBorders>
              <w:top w:val="single" w:sz="6" w:space="0" w:color="000000"/>
              <w:bottom w:val="single" w:sz="6" w:space="0" w:color="000000"/>
              <w:right w:val="single" w:sz="6" w:space="0" w:color="000000"/>
            </w:tcBorders>
          </w:tcPr>
          <w:p>
            <w:pPr>
              <w:pStyle w:val="TableText"/>
            </w:pPr>
            <w:r>
              <w:t>≤0.15</w:t>
            </w:r>
          </w:p>
        </w:tc>
        <w:tc>
          <w:tcPr>
            <w:tcW w:w="585" w:type="pct"/>
            <w:tcBorders>
              <w:top w:val="single" w:sz="6" w:space="0" w:color="000000"/>
              <w:bottom w:val="single" w:sz="6" w:space="0" w:color="000000"/>
              <w:right w:val="single" w:sz="6" w:space="0" w:color="000000"/>
            </w:tcBorders>
          </w:tcPr>
          <w:p>
            <w:pPr>
              <w:pStyle w:val="TableText"/>
            </w:pPr>
            <w:r>
              <w:t>≤0.20</w:t>
            </w:r>
          </w:p>
        </w:tc>
        <w:tc>
          <w:tcPr>
            <w:tcW w:w="3373" w:type="pct"/>
            <w:tcBorders>
              <w:top w:val="single" w:sz="6" w:space="0" w:color="000000"/>
              <w:bottom w:val="single" w:sz="6" w:space="0" w:color="000000"/>
            </w:tcBorders>
          </w:tcPr>
          <w:p>
            <w:pPr>
              <w:pStyle w:val="TableText"/>
            </w:pPr>
            <w:r>
              <w:t>Concrete antifreeze, urea-formaldehyde resin, and bathrooms.</w:t>
            </w:r>
          </w:p>
        </w:tc>
      </w:tr>
      <w:tr>
        <w:tblPrEx>
          <w:tblW w:w="7938" w:type="dxa"/>
          <w:tblInd w:w="1814" w:type="dxa"/>
          <w:tblLayout w:type="fixed"/>
          <w:tblLook w:val="01E0"/>
        </w:tblPrEx>
        <w:trPr>
          <w:cantSplit w:val="0"/>
        </w:trPr>
        <w:tc>
          <w:tcPr>
            <w:tcW w:w="538" w:type="pct"/>
            <w:tcBorders>
              <w:top w:val="single" w:sz="6" w:space="0" w:color="000000"/>
              <w:bottom w:val="single" w:sz="6" w:space="0" w:color="000000"/>
              <w:right w:val="single" w:sz="6" w:space="0" w:color="000000"/>
            </w:tcBorders>
          </w:tcPr>
          <w:p>
            <w:pPr>
              <w:pStyle w:val="TableText"/>
            </w:pPr>
            <w:r>
              <w:t>Total Volatile Organic Compound (TVOC)</w:t>
            </w:r>
          </w:p>
        </w:tc>
        <w:tc>
          <w:tcPr>
            <w:tcW w:w="505" w:type="pct"/>
            <w:tcBorders>
              <w:top w:val="single" w:sz="6" w:space="0" w:color="000000"/>
              <w:bottom w:val="single" w:sz="6" w:space="0" w:color="000000"/>
              <w:right w:val="single" w:sz="6" w:space="0" w:color="000000"/>
            </w:tcBorders>
          </w:tcPr>
          <w:p>
            <w:pPr>
              <w:pStyle w:val="TableText"/>
            </w:pPr>
            <w:r>
              <w:t>≤0.45</w:t>
            </w:r>
          </w:p>
        </w:tc>
        <w:tc>
          <w:tcPr>
            <w:tcW w:w="585" w:type="pct"/>
            <w:tcBorders>
              <w:top w:val="single" w:sz="6" w:space="0" w:color="000000"/>
              <w:bottom w:val="single" w:sz="6" w:space="0" w:color="000000"/>
              <w:right w:val="single" w:sz="6" w:space="0" w:color="000000"/>
            </w:tcBorders>
          </w:tcPr>
          <w:p>
            <w:pPr>
              <w:pStyle w:val="TableText"/>
            </w:pPr>
            <w:r>
              <w:t>≤0.50</w:t>
            </w:r>
          </w:p>
        </w:tc>
        <w:tc>
          <w:tcPr>
            <w:tcW w:w="3373" w:type="pct"/>
            <w:tcBorders>
              <w:top w:val="single" w:sz="6" w:space="0" w:color="000000"/>
              <w:bottom w:val="single" w:sz="6" w:space="0" w:color="000000"/>
            </w:tcBorders>
          </w:tcPr>
          <w:p>
            <w:pPr>
              <w:pStyle w:val="TableText"/>
            </w:pPr>
            <w:r>
              <w:t>Building materials, furniture, cleaning agents, and paints.</w:t>
            </w:r>
          </w:p>
        </w:tc>
      </w:tr>
      <w:tr>
        <w:tblPrEx>
          <w:tblW w:w="7938" w:type="dxa"/>
          <w:tblInd w:w="1814" w:type="dxa"/>
          <w:tblLayout w:type="fixed"/>
          <w:tblLook w:val="01E0"/>
        </w:tblPrEx>
        <w:trPr>
          <w:cantSplit w:val="0"/>
        </w:trPr>
        <w:tc>
          <w:tcPr>
            <w:tcW w:w="538" w:type="pct"/>
            <w:tcBorders>
              <w:top w:val="single" w:sz="6" w:space="0" w:color="000000"/>
              <w:bottom w:val="single" w:sz="6" w:space="0" w:color="000000"/>
              <w:right w:val="single" w:sz="6" w:space="0" w:color="000000"/>
            </w:tcBorders>
          </w:tcPr>
          <w:p>
            <w:pPr>
              <w:pStyle w:val="TableText"/>
            </w:pPr>
            <w:r>
              <w:t>Radon (Rn-222)</w:t>
            </w:r>
          </w:p>
        </w:tc>
        <w:tc>
          <w:tcPr>
            <w:tcW w:w="505" w:type="pct"/>
            <w:tcBorders>
              <w:top w:val="single" w:sz="6" w:space="0" w:color="000000"/>
              <w:bottom w:val="single" w:sz="6" w:space="0" w:color="000000"/>
              <w:right w:val="single" w:sz="6" w:space="0" w:color="000000"/>
            </w:tcBorders>
          </w:tcPr>
          <w:p>
            <w:pPr>
              <w:pStyle w:val="TableText"/>
            </w:pPr>
            <w:r>
              <w:t>≤150</w:t>
            </w:r>
          </w:p>
        </w:tc>
        <w:tc>
          <w:tcPr>
            <w:tcW w:w="585" w:type="pct"/>
            <w:tcBorders>
              <w:top w:val="single" w:sz="6" w:space="0" w:color="000000"/>
              <w:bottom w:val="single" w:sz="6" w:space="0" w:color="000000"/>
              <w:right w:val="single" w:sz="6" w:space="0" w:color="000000"/>
            </w:tcBorders>
          </w:tcPr>
          <w:p>
            <w:pPr>
              <w:pStyle w:val="TableText"/>
            </w:pPr>
            <w:r>
              <w:t>≤150</w:t>
            </w:r>
          </w:p>
        </w:tc>
        <w:tc>
          <w:tcPr>
            <w:tcW w:w="3373" w:type="pct"/>
            <w:tcBorders>
              <w:top w:val="single" w:sz="6" w:space="0" w:color="000000"/>
              <w:bottom w:val="single" w:sz="6" w:space="0" w:color="000000"/>
            </w:tcBorders>
          </w:tcPr>
          <w:p>
            <w:pPr>
              <w:pStyle w:val="TableText"/>
            </w:pPr>
            <w:r>
              <w:t>Soil, stone, and underground fissures.</w:t>
            </w:r>
          </w:p>
        </w:tc>
      </w:tr>
    </w:tbl>
    <w:p/>
    <w:p>
      <w:pPr>
        <w:pStyle w:val="NotesHeading"/>
        <w:rPr>
          <w:rFonts w:hint="eastAsia"/>
        </w:rPr>
      </w:pPr>
      <w:r>
        <w:rPr>
          <w:rFonts w:hint="eastAsia"/>
          <w:color w:val="339966"/>
        </w:rPr>
        <w:pict>
          <v:shape id="_x0000_i1056" type="#_x0000_t75" style="width:54.08pt;height:19pt">
            <v:imagedata r:id="rId15" o:title="note"/>
          </v:shape>
        </w:pict>
      </w:r>
    </w:p>
    <w:p>
      <w:pPr>
        <w:pStyle w:val="NotesText"/>
      </w:pPr>
      <w:r>
        <w:t>Class I buildings include houses, dormitories, hospitals, buildings for the aged, kindergartens, schools, and so on.</w:t>
      </w:r>
    </w:p>
    <w:p>
      <w:pPr>
        <w:pStyle w:val="NotesText"/>
      </w:pPr>
      <w:r>
        <w:t>Class II buildings include hotels, office buildings, cultural and entertainment venues, bookstores, libraries, exhibition halls, stadiums, shopping malls (stores), waiting rooms for public transportation, hospital waiting rooms, restaurants, barbershops, and so on.</w:t>
      </w:r>
    </w:p>
    <w:bookmarkStart w:id="85" w:name="_EN-US_TOPIC_0000002540893380"/>
    <w:bookmarkEnd w:id="85"/>
    <w:p>
      <w:pPr>
        <w:pStyle w:val="Heading2"/>
      </w:pPr>
      <w:bookmarkStart w:id="86" w:name="_EN-US_TOPIC_0000002540893380-chtext"/>
      <w:bookmarkStart w:id="87" w:name="_Toc256000031"/>
      <w:r>
        <w:t>Fire Protection Requirements</w:t>
      </w:r>
      <w:bookmarkEnd w:id="87"/>
      <w:bookmarkEnd w:id="86"/>
    </w:p>
    <w:p>
      <w:r>
        <w:t xml:space="preserve">According to the flammability of the materials, decoration materials are classified into four levels listed in </w:t>
      </w:r>
      <w:r>
        <w:fldChar w:fldCharType="begin"/>
      </w:r>
      <w:r>
        <w:instrText>REF _table1314731 \r \h</w:instrText>
      </w:r>
      <w:r>
        <w:fldChar w:fldCharType="separate"/>
      </w:r>
      <w:r>
        <w:t>Table 2-8</w:t>
      </w:r>
      <w:r>
        <w:fldChar w:fldCharType="end"/>
      </w:r>
      <w:r>
        <w:t>.</w:t>
      </w:r>
    </w:p>
    <w:bookmarkStart w:id="88" w:name="_table1314731"/>
    <w:bookmarkEnd w:id="88"/>
    <w:p>
      <w:pPr>
        <w:pStyle w:val="TableDescription"/>
      </w:pPr>
      <w:r>
        <w:t>Flammability</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3969"/>
        <w:gridCol w:w="39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Level</w:t>
            </w:r>
          </w:p>
        </w:tc>
        <w:tc>
          <w:tcPr>
            <w:tcW w:w="2500" w:type="pct"/>
            <w:tcBorders>
              <w:top w:val="single" w:sz="6" w:space="0" w:color="000000"/>
              <w:bottom w:val="single" w:sz="6" w:space="0" w:color="000000"/>
            </w:tcBorders>
          </w:tcPr>
          <w:p>
            <w:pPr>
              <w:pStyle w:val="TableText"/>
            </w:pPr>
            <w:r>
              <w:t>Flammability</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A</w:t>
            </w:r>
          </w:p>
        </w:tc>
        <w:tc>
          <w:tcPr>
            <w:tcW w:w="2500" w:type="pct"/>
            <w:tcBorders>
              <w:top w:val="single" w:sz="6" w:space="0" w:color="000000"/>
              <w:bottom w:val="single" w:sz="6" w:space="0" w:color="000000"/>
            </w:tcBorders>
          </w:tcPr>
          <w:p>
            <w:pPr>
              <w:pStyle w:val="TableText"/>
            </w:pPr>
            <w:r>
              <w:t>100% noncombustible</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B1</w:t>
            </w:r>
          </w:p>
        </w:tc>
        <w:tc>
          <w:tcPr>
            <w:tcW w:w="2500" w:type="pct"/>
            <w:tcBorders>
              <w:top w:val="single" w:sz="6" w:space="0" w:color="000000"/>
              <w:bottom w:val="single" w:sz="6" w:space="0" w:color="000000"/>
            </w:tcBorders>
          </w:tcPr>
          <w:p>
            <w:pPr>
              <w:pStyle w:val="TableText"/>
            </w:pPr>
            <w:r>
              <w:t>Difficult to ignite</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B2</w:t>
            </w:r>
          </w:p>
        </w:tc>
        <w:tc>
          <w:tcPr>
            <w:tcW w:w="2500" w:type="pct"/>
            <w:tcBorders>
              <w:top w:val="single" w:sz="6" w:space="0" w:color="000000"/>
              <w:bottom w:val="single" w:sz="6" w:space="0" w:color="000000"/>
            </w:tcBorders>
          </w:tcPr>
          <w:p>
            <w:pPr>
              <w:pStyle w:val="TableText"/>
            </w:pPr>
            <w:r>
              <w:t>Normal combustibility</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B3</w:t>
            </w:r>
          </w:p>
        </w:tc>
        <w:tc>
          <w:tcPr>
            <w:tcW w:w="2500" w:type="pct"/>
            <w:tcBorders>
              <w:top w:val="single" w:sz="6" w:space="0" w:color="000000"/>
              <w:bottom w:val="single" w:sz="6" w:space="0" w:color="000000"/>
            </w:tcBorders>
          </w:tcPr>
          <w:p>
            <w:pPr>
              <w:pStyle w:val="TableText"/>
            </w:pPr>
            <w:r>
              <w:t>Easily ignited</w:t>
            </w:r>
          </w:p>
        </w:tc>
      </w:tr>
    </w:tbl>
    <w:p/>
    <w:p>
      <w:r>
        <w:fldChar w:fldCharType="begin"/>
      </w:r>
      <w:r>
        <w:instrText>REF _table60684933 \r \h</w:instrText>
      </w:r>
      <w:r>
        <w:fldChar w:fldCharType="separate"/>
      </w:r>
      <w:r>
        <w:t>Table 2-9</w:t>
      </w:r>
      <w:r>
        <w:fldChar w:fldCharType="end"/>
      </w:r>
      <w:r>
        <w:t xml:space="preserve"> provides the flammability requirements on different components of a telepresence room.</w:t>
      </w:r>
    </w:p>
    <w:bookmarkStart w:id="89" w:name="_table60684933"/>
    <w:bookmarkEnd w:id="89"/>
    <w:p>
      <w:pPr>
        <w:pStyle w:val="TableDescription"/>
      </w:pPr>
      <w:r>
        <w:t>Telepresence room flammability requirements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993"/>
        <w:gridCol w:w="993"/>
        <w:gridCol w:w="992"/>
        <w:gridCol w:w="992"/>
        <w:gridCol w:w="992"/>
        <w:gridCol w:w="992"/>
        <w:gridCol w:w="992"/>
        <w:gridCol w:w="992"/>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625" w:type="pct"/>
            <w:vMerge w:val="restart"/>
            <w:tcBorders>
              <w:top w:val="single" w:sz="6" w:space="0" w:color="000000"/>
              <w:bottom w:val="single" w:sz="6" w:space="0" w:color="000000"/>
              <w:right w:val="single" w:sz="6" w:space="0" w:color="000000"/>
            </w:tcBorders>
          </w:tcPr>
          <w:p>
            <w:pPr>
              <w:pStyle w:val="TableText"/>
            </w:pPr>
            <w:r>
              <w:t>Location</w:t>
            </w:r>
          </w:p>
        </w:tc>
        <w:tc>
          <w:tcPr>
            <w:tcW w:w="4375" w:type="pct"/>
            <w:gridSpan w:val="7"/>
            <w:tcBorders>
              <w:top w:val="single" w:sz="6" w:space="0" w:color="000000"/>
              <w:bottom w:val="single" w:sz="6" w:space="0" w:color="000000"/>
              <w:right w:val="single" w:sz="6" w:space="0" w:color="000000"/>
            </w:tcBorders>
          </w:tcPr>
          <w:p>
            <w:pPr>
              <w:pStyle w:val="TableText"/>
            </w:pPr>
            <w:r>
              <w:t>Flammability</w:t>
            </w:r>
          </w:p>
        </w:tc>
      </w:tr>
      <w:tr>
        <w:tblPrEx>
          <w:tblW w:w="7938" w:type="dxa"/>
          <w:tblInd w:w="1814" w:type="dxa"/>
          <w:tblLayout w:type="fixed"/>
          <w:tblLook w:val="01E0"/>
        </w:tblPrEx>
        <w:trPr>
          <w:cantSplit w:val="0"/>
        </w:trPr>
        <w:tc>
          <w:tcPr>
            <w:tcW w:w="360" w:type="dxa"/>
            <w:vMerge/>
          </w:tcPr>
          <w:p>
            <w:pPr>
              <w:pStyle w:val="TableText"/>
            </w:pPr>
          </w:p>
        </w:tc>
        <w:tc>
          <w:tcPr>
            <w:tcW w:w="625" w:type="pct"/>
            <w:tcBorders>
              <w:top w:val="single" w:sz="6" w:space="0" w:color="000000"/>
              <w:bottom w:val="single" w:sz="6" w:space="0" w:color="000000"/>
              <w:right w:val="single" w:sz="6" w:space="0" w:color="000000"/>
            </w:tcBorders>
          </w:tcPr>
          <w:p>
            <w:pPr>
              <w:pStyle w:val="TableText"/>
            </w:pPr>
            <w:r>
              <w:t>Ceiling</w:t>
            </w:r>
          </w:p>
        </w:tc>
        <w:tc>
          <w:tcPr>
            <w:tcW w:w="625" w:type="pct"/>
            <w:tcBorders>
              <w:top w:val="single" w:sz="6" w:space="0" w:color="000000"/>
              <w:bottom w:val="single" w:sz="6" w:space="0" w:color="000000"/>
              <w:right w:val="single" w:sz="6" w:space="0" w:color="000000"/>
            </w:tcBorders>
          </w:tcPr>
          <w:p>
            <w:pPr>
              <w:pStyle w:val="TableText"/>
            </w:pPr>
            <w:r>
              <w:t>Wall</w:t>
            </w:r>
          </w:p>
        </w:tc>
        <w:tc>
          <w:tcPr>
            <w:tcW w:w="625" w:type="pct"/>
            <w:tcBorders>
              <w:bottom w:val="single" w:sz="6" w:space="0" w:color="000000"/>
              <w:right w:val="single" w:sz="6" w:space="0" w:color="000000"/>
            </w:tcBorders>
          </w:tcPr>
          <w:p>
            <w:pPr>
              <w:pStyle w:val="TableText"/>
            </w:pPr>
            <w:r>
              <w:t>Floor</w:t>
            </w:r>
          </w:p>
        </w:tc>
        <w:tc>
          <w:tcPr>
            <w:tcW w:w="625" w:type="pct"/>
            <w:tcBorders>
              <w:bottom w:val="single" w:sz="6" w:space="0" w:color="000000"/>
              <w:right w:val="single" w:sz="6" w:space="0" w:color="000000"/>
            </w:tcBorders>
          </w:tcPr>
          <w:p>
            <w:pPr>
              <w:pStyle w:val="TableText"/>
            </w:pPr>
            <w:r>
              <w:t>Separator</w:t>
            </w:r>
          </w:p>
        </w:tc>
        <w:tc>
          <w:tcPr>
            <w:tcW w:w="625" w:type="pct"/>
            <w:tcBorders>
              <w:bottom w:val="single" w:sz="6" w:space="0" w:color="000000"/>
              <w:right w:val="single" w:sz="6" w:space="0" w:color="000000"/>
            </w:tcBorders>
          </w:tcPr>
          <w:p>
            <w:pPr>
              <w:pStyle w:val="TableText"/>
            </w:pPr>
            <w:r>
              <w:t>Furniture</w:t>
            </w:r>
          </w:p>
        </w:tc>
        <w:tc>
          <w:tcPr>
            <w:tcW w:w="625" w:type="pct"/>
            <w:tcBorders>
              <w:bottom w:val="single" w:sz="6" w:space="0" w:color="000000"/>
              <w:right w:val="single" w:sz="6" w:space="0" w:color="000000"/>
            </w:tcBorders>
          </w:tcPr>
          <w:p>
            <w:pPr>
              <w:pStyle w:val="TableText"/>
            </w:pPr>
            <w:r>
              <w:t>Curtain</w:t>
            </w:r>
          </w:p>
        </w:tc>
        <w:tc>
          <w:tcPr>
            <w:tcW w:w="625" w:type="pct"/>
            <w:tcBorders>
              <w:bottom w:val="single" w:sz="6" w:space="0" w:color="000000"/>
              <w:right w:val="single" w:sz="6" w:space="0" w:color="000000"/>
            </w:tcBorders>
          </w:tcPr>
          <w:p>
            <w:pPr>
              <w:pStyle w:val="TableText"/>
            </w:pPr>
            <w:r>
              <w:t>Other Decoration Materials</w:t>
            </w:r>
          </w:p>
        </w:tc>
      </w:tr>
      <w:tr>
        <w:tblPrEx>
          <w:tblW w:w="7938" w:type="dxa"/>
          <w:tblInd w:w="1814" w:type="dxa"/>
          <w:tblLayout w:type="fixed"/>
          <w:tblLook w:val="01E0"/>
        </w:tblPrEx>
        <w:trPr>
          <w:cantSplit w:val="0"/>
        </w:trPr>
        <w:tc>
          <w:tcPr>
            <w:tcW w:w="625" w:type="pct"/>
            <w:tcBorders>
              <w:top w:val="single" w:sz="6" w:space="0" w:color="000000"/>
              <w:bottom w:val="single" w:sz="6" w:space="0" w:color="000000"/>
              <w:right w:val="single" w:sz="6" w:space="0" w:color="000000"/>
            </w:tcBorders>
          </w:tcPr>
          <w:p>
            <w:pPr>
              <w:pStyle w:val="TableText"/>
            </w:pPr>
            <w:r>
              <w:t>Telepresence room</w:t>
            </w:r>
          </w:p>
        </w:tc>
        <w:tc>
          <w:tcPr>
            <w:tcW w:w="625" w:type="pct"/>
            <w:tcBorders>
              <w:top w:val="single" w:sz="6" w:space="0" w:color="000000"/>
              <w:bottom w:val="single" w:sz="6" w:space="0" w:color="000000"/>
              <w:right w:val="single" w:sz="6" w:space="0" w:color="000000"/>
            </w:tcBorders>
          </w:tcPr>
          <w:p>
            <w:pPr>
              <w:pStyle w:val="TableText"/>
            </w:pPr>
            <w:r>
              <w:t>A</w:t>
            </w:r>
          </w:p>
        </w:tc>
        <w:tc>
          <w:tcPr>
            <w:tcW w:w="625" w:type="pct"/>
            <w:tcBorders>
              <w:top w:val="single" w:sz="6" w:space="0" w:color="000000"/>
              <w:bottom w:val="single" w:sz="6" w:space="0" w:color="000000"/>
              <w:right w:val="single" w:sz="6" w:space="0" w:color="000000"/>
            </w:tcBorders>
          </w:tcPr>
          <w:p>
            <w:pPr>
              <w:pStyle w:val="TableText"/>
            </w:pPr>
            <w:r>
              <w:t>B1</w:t>
            </w:r>
          </w:p>
        </w:tc>
        <w:tc>
          <w:tcPr>
            <w:tcW w:w="625" w:type="pct"/>
            <w:tcBorders>
              <w:top w:val="single" w:sz="6" w:space="0" w:color="000000"/>
              <w:bottom w:val="single" w:sz="6" w:space="0" w:color="000000"/>
              <w:right w:val="single" w:sz="6" w:space="0" w:color="000000"/>
            </w:tcBorders>
          </w:tcPr>
          <w:p>
            <w:pPr>
              <w:pStyle w:val="TableText"/>
            </w:pPr>
            <w:r>
              <w:t>B1</w:t>
            </w:r>
          </w:p>
        </w:tc>
        <w:tc>
          <w:tcPr>
            <w:tcW w:w="625" w:type="pct"/>
            <w:tcBorders>
              <w:top w:val="single" w:sz="6" w:space="0" w:color="000000"/>
              <w:bottom w:val="single" w:sz="6" w:space="0" w:color="000000"/>
              <w:right w:val="single" w:sz="6" w:space="0" w:color="000000"/>
            </w:tcBorders>
          </w:tcPr>
          <w:p>
            <w:pPr>
              <w:pStyle w:val="TableText"/>
            </w:pPr>
            <w:r>
              <w:t>B1</w:t>
            </w:r>
          </w:p>
        </w:tc>
        <w:tc>
          <w:tcPr>
            <w:tcW w:w="625" w:type="pct"/>
            <w:tcBorders>
              <w:top w:val="single" w:sz="6" w:space="0" w:color="000000"/>
              <w:bottom w:val="single" w:sz="6" w:space="0" w:color="000000"/>
              <w:right w:val="single" w:sz="6" w:space="0" w:color="000000"/>
            </w:tcBorders>
          </w:tcPr>
          <w:p>
            <w:pPr>
              <w:pStyle w:val="TableText"/>
            </w:pPr>
            <w:r>
              <w:t>B2</w:t>
            </w:r>
          </w:p>
        </w:tc>
        <w:tc>
          <w:tcPr>
            <w:tcW w:w="625" w:type="pct"/>
            <w:tcBorders>
              <w:top w:val="single" w:sz="6" w:space="0" w:color="000000"/>
              <w:bottom w:val="single" w:sz="6" w:space="0" w:color="000000"/>
              <w:right w:val="single" w:sz="6" w:space="0" w:color="000000"/>
            </w:tcBorders>
          </w:tcPr>
          <w:p>
            <w:pPr>
              <w:pStyle w:val="TableText"/>
            </w:pPr>
            <w:r>
              <w:t>B2</w:t>
            </w:r>
          </w:p>
        </w:tc>
        <w:tc>
          <w:tcPr>
            <w:tcW w:w="625" w:type="pct"/>
            <w:tcBorders>
              <w:bottom w:val="single" w:sz="6" w:space="0" w:color="000000"/>
            </w:tcBorders>
          </w:tcPr>
          <w:p>
            <w:pPr>
              <w:pStyle w:val="TableText"/>
            </w:pPr>
            <w:r>
              <w:t>B2</w:t>
            </w:r>
          </w:p>
        </w:tc>
      </w:tr>
    </w:tbl>
    <w:p/>
    <w:bookmarkStart w:id="90" w:name="_EN-US_TOPIC_0000002571413717"/>
    <w:bookmarkEnd w:id="90"/>
    <w:p>
      <w:pPr>
        <w:pStyle w:val="Heading2"/>
      </w:pPr>
      <w:bookmarkStart w:id="91" w:name="_EN-US_TOPIC_0000002571413717-chtext"/>
      <w:bookmarkStart w:id="92" w:name="_Toc256000032"/>
      <w:r>
        <w:t>Environmental Protection Requirements</w:t>
      </w:r>
      <w:bookmarkEnd w:id="92"/>
      <w:bookmarkEnd w:id="91"/>
    </w:p>
    <w:p>
      <w:r>
        <w:t xml:space="preserve">The emission limits of hazardous substances in the main decoration and refurbishment materials of telepresence conference rooms must comply with the 10 national standards, such as the </w:t>
      </w:r>
      <w:r>
        <w:rPr>
          <w:i/>
        </w:rPr>
        <w:t>Limits of Hazardous Substances in Indoor Decoration and Refurbishment Materials of China</w:t>
      </w:r>
      <w:r>
        <w:t xml:space="preserve">. For details, see </w:t>
      </w:r>
      <w:r>
        <w:fldChar w:fldCharType="begin"/>
      </w:r>
      <w:r>
        <w:instrText>REF _table9724030 \r \h</w:instrText>
      </w:r>
      <w:r>
        <w:fldChar w:fldCharType="separate"/>
      </w:r>
      <w:r>
        <w:t>Table 2-10</w:t>
      </w:r>
      <w:r>
        <w:fldChar w:fldCharType="end"/>
      </w:r>
      <w:r>
        <w:t>.</w:t>
      </w:r>
    </w:p>
    <w:bookmarkStart w:id="93" w:name="_table9724030"/>
    <w:bookmarkEnd w:id="93"/>
    <w:p>
      <w:pPr>
        <w:pStyle w:val="TableDescription"/>
      </w:pPr>
      <w:r>
        <w:t>Standards for decoration and refurbishment materials on hazardous substance emission</w:t>
      </w:r>
    </w:p>
    <w:tbl>
      <w:tblPr>
        <w:tblStyle w:val="Table"/>
        <w:tblW w:w="7938" w:type="dxa"/>
        <w:tblInd w:w="1814" w:type="dxa"/>
        <w:tblLayout w:type="fixed"/>
        <w:tblLook w:val="01E0"/>
      </w:tblPr>
      <w:tblGrid>
        <w:gridCol w:w="2420"/>
        <w:gridCol w:w="5518"/>
      </w:tblGrid>
      <w:tr>
        <w:tblPrEx>
          <w:tblW w:w="7938" w:type="dxa"/>
          <w:tblInd w:w="1814" w:type="dxa"/>
          <w:tblLayout w:type="fixed"/>
          <w:tblLook w:val="01E0"/>
        </w:tblPrEx>
        <w:trPr>
          <w:cantSplit w:val="0"/>
          <w:tblHeader/>
        </w:trPr>
        <w:tc>
          <w:tcPr>
            <w:tcW w:w="1524" w:type="pct"/>
            <w:tcBorders>
              <w:top w:val="single" w:sz="6" w:space="0" w:color="000000"/>
              <w:bottom w:val="single" w:sz="6" w:space="0" w:color="000000"/>
              <w:right w:val="single" w:sz="6" w:space="0" w:color="000000"/>
            </w:tcBorders>
            <w:shd w:val="clear" w:color="auto" w:fill="D9D9D9"/>
          </w:tcPr>
          <w:p>
            <w:pPr>
              <w:pStyle w:val="TableHeading"/>
            </w:pPr>
            <w:r>
              <w:t>Standard No.</w:t>
            </w:r>
          </w:p>
        </w:tc>
        <w:tc>
          <w:tcPr>
            <w:tcW w:w="3476" w:type="pct"/>
            <w:tcBorders>
              <w:top w:val="single" w:sz="6" w:space="0" w:color="000000"/>
              <w:bottom w:val="single" w:sz="6" w:space="0" w:color="000000"/>
            </w:tcBorders>
            <w:shd w:val="clear" w:color="auto" w:fill="D9D9D9"/>
          </w:tcPr>
          <w:p>
            <w:pPr>
              <w:pStyle w:val="TableHeading"/>
            </w:pPr>
            <w:r>
              <w:t>Standard Name</w:t>
            </w:r>
          </w:p>
        </w:tc>
      </w:tr>
      <w:tr>
        <w:tblPrEx>
          <w:tblW w:w="7938" w:type="dxa"/>
          <w:tblInd w:w="1814" w:type="dxa"/>
          <w:tblLayout w:type="fixed"/>
          <w:tblLook w:val="01E0"/>
        </w:tblPrEx>
        <w:trPr>
          <w:cantSplit w:val="0"/>
        </w:trPr>
        <w:tc>
          <w:tcPr>
            <w:tcW w:w="1524" w:type="pct"/>
            <w:tcBorders>
              <w:top w:val="single" w:sz="6" w:space="0" w:color="000000"/>
              <w:bottom w:val="single" w:sz="6" w:space="0" w:color="000000"/>
              <w:right w:val="single" w:sz="6" w:space="0" w:color="000000"/>
            </w:tcBorders>
          </w:tcPr>
          <w:p>
            <w:pPr>
              <w:pStyle w:val="TableText"/>
            </w:pPr>
            <w:r>
              <w:t>GB 18580-2017</w:t>
            </w:r>
          </w:p>
        </w:tc>
        <w:tc>
          <w:tcPr>
            <w:tcW w:w="3476" w:type="pct"/>
            <w:tcBorders>
              <w:top w:val="single" w:sz="6" w:space="0" w:color="000000"/>
              <w:bottom w:val="single" w:sz="6" w:space="0" w:color="000000"/>
            </w:tcBorders>
          </w:tcPr>
          <w:p>
            <w:pPr>
              <w:pStyle w:val="TableText"/>
            </w:pPr>
            <w:r>
              <w:t>Limits of formaldehyde emission from wood-based panels and their products</w:t>
            </w:r>
          </w:p>
        </w:tc>
      </w:tr>
      <w:tr>
        <w:tblPrEx>
          <w:tblW w:w="7938" w:type="dxa"/>
          <w:tblInd w:w="1814" w:type="dxa"/>
          <w:tblLayout w:type="fixed"/>
          <w:tblLook w:val="01E0"/>
        </w:tblPrEx>
        <w:trPr>
          <w:cantSplit w:val="0"/>
        </w:trPr>
        <w:tc>
          <w:tcPr>
            <w:tcW w:w="1524" w:type="pct"/>
            <w:tcBorders>
              <w:top w:val="single" w:sz="6" w:space="0" w:color="000000"/>
              <w:bottom w:val="single" w:sz="6" w:space="0" w:color="000000"/>
              <w:right w:val="single" w:sz="6" w:space="0" w:color="000000"/>
            </w:tcBorders>
          </w:tcPr>
          <w:p>
            <w:pPr>
              <w:pStyle w:val="TableText"/>
            </w:pPr>
            <w:r>
              <w:t>GB 18581-2020</w:t>
            </w:r>
          </w:p>
        </w:tc>
        <w:tc>
          <w:tcPr>
            <w:tcW w:w="3476" w:type="pct"/>
            <w:tcBorders>
              <w:top w:val="single" w:sz="6" w:space="0" w:color="000000"/>
              <w:bottom w:val="single" w:sz="6" w:space="0" w:color="000000"/>
            </w:tcBorders>
          </w:tcPr>
          <w:p>
            <w:pPr>
              <w:pStyle w:val="TableText"/>
            </w:pPr>
            <w:r>
              <w:t>Limits of harmful substances in solvent-based wood coatings</w:t>
            </w:r>
          </w:p>
        </w:tc>
      </w:tr>
      <w:tr>
        <w:tblPrEx>
          <w:tblW w:w="7938" w:type="dxa"/>
          <w:tblInd w:w="1814" w:type="dxa"/>
          <w:tblLayout w:type="fixed"/>
          <w:tblLook w:val="01E0"/>
        </w:tblPrEx>
        <w:trPr>
          <w:cantSplit w:val="0"/>
        </w:trPr>
        <w:tc>
          <w:tcPr>
            <w:tcW w:w="1524" w:type="pct"/>
            <w:tcBorders>
              <w:top w:val="single" w:sz="6" w:space="0" w:color="000000"/>
              <w:bottom w:val="single" w:sz="6" w:space="0" w:color="000000"/>
              <w:right w:val="single" w:sz="6" w:space="0" w:color="000000"/>
            </w:tcBorders>
          </w:tcPr>
          <w:p>
            <w:pPr>
              <w:pStyle w:val="TableText"/>
            </w:pPr>
            <w:r>
              <w:t>GB 18582-2020</w:t>
            </w:r>
          </w:p>
        </w:tc>
        <w:tc>
          <w:tcPr>
            <w:tcW w:w="3476" w:type="pct"/>
            <w:tcBorders>
              <w:top w:val="single" w:sz="6" w:space="0" w:color="000000"/>
              <w:bottom w:val="single" w:sz="6" w:space="0" w:color="000000"/>
            </w:tcBorders>
          </w:tcPr>
          <w:p>
            <w:pPr>
              <w:pStyle w:val="TableText"/>
            </w:pPr>
            <w:r>
              <w:t>Limit of harmful substances of architectural wall coatings</w:t>
            </w:r>
          </w:p>
        </w:tc>
      </w:tr>
      <w:tr>
        <w:tblPrEx>
          <w:tblW w:w="7938" w:type="dxa"/>
          <w:tblInd w:w="1814" w:type="dxa"/>
          <w:tblLayout w:type="fixed"/>
          <w:tblLook w:val="01E0"/>
        </w:tblPrEx>
        <w:trPr>
          <w:cantSplit w:val="0"/>
        </w:trPr>
        <w:tc>
          <w:tcPr>
            <w:tcW w:w="1524" w:type="pct"/>
            <w:tcBorders>
              <w:top w:val="single" w:sz="6" w:space="0" w:color="000000"/>
              <w:bottom w:val="single" w:sz="6" w:space="0" w:color="000000"/>
              <w:right w:val="single" w:sz="6" w:space="0" w:color="000000"/>
            </w:tcBorders>
          </w:tcPr>
          <w:p>
            <w:pPr>
              <w:pStyle w:val="TableText"/>
            </w:pPr>
            <w:r>
              <w:t>GB 18583-2008</w:t>
            </w:r>
          </w:p>
        </w:tc>
        <w:tc>
          <w:tcPr>
            <w:tcW w:w="3476" w:type="pct"/>
            <w:tcBorders>
              <w:top w:val="single" w:sz="6" w:space="0" w:color="000000"/>
              <w:bottom w:val="single" w:sz="6" w:space="0" w:color="000000"/>
            </w:tcBorders>
          </w:tcPr>
          <w:p>
            <w:pPr>
              <w:pStyle w:val="TableText"/>
            </w:pPr>
            <w:r>
              <w:t>Limits of harmful substances in adhesives</w:t>
            </w:r>
          </w:p>
        </w:tc>
      </w:tr>
      <w:tr>
        <w:tblPrEx>
          <w:tblW w:w="7938" w:type="dxa"/>
          <w:tblInd w:w="1814" w:type="dxa"/>
          <w:tblLayout w:type="fixed"/>
          <w:tblLook w:val="01E0"/>
        </w:tblPrEx>
        <w:trPr>
          <w:cantSplit w:val="0"/>
        </w:trPr>
        <w:tc>
          <w:tcPr>
            <w:tcW w:w="1524" w:type="pct"/>
            <w:tcBorders>
              <w:top w:val="single" w:sz="6" w:space="0" w:color="000000"/>
              <w:bottom w:val="single" w:sz="6" w:space="0" w:color="000000"/>
              <w:right w:val="single" w:sz="6" w:space="0" w:color="000000"/>
            </w:tcBorders>
          </w:tcPr>
          <w:p>
            <w:pPr>
              <w:pStyle w:val="TableText"/>
            </w:pPr>
            <w:r>
              <w:t>GB 18584-2001</w:t>
            </w:r>
          </w:p>
        </w:tc>
        <w:tc>
          <w:tcPr>
            <w:tcW w:w="3476" w:type="pct"/>
            <w:tcBorders>
              <w:top w:val="single" w:sz="6" w:space="0" w:color="000000"/>
              <w:bottom w:val="single" w:sz="6" w:space="0" w:color="000000"/>
            </w:tcBorders>
          </w:tcPr>
          <w:p>
            <w:pPr>
              <w:pStyle w:val="TableText"/>
            </w:pPr>
            <w:r>
              <w:t>Limits of harmful substances in wooden furniture</w:t>
            </w:r>
          </w:p>
        </w:tc>
      </w:tr>
      <w:tr>
        <w:tblPrEx>
          <w:tblW w:w="7938" w:type="dxa"/>
          <w:tblInd w:w="1814" w:type="dxa"/>
          <w:tblLayout w:type="fixed"/>
          <w:tblLook w:val="01E0"/>
        </w:tblPrEx>
        <w:trPr>
          <w:cantSplit w:val="0"/>
        </w:trPr>
        <w:tc>
          <w:tcPr>
            <w:tcW w:w="1524" w:type="pct"/>
            <w:tcBorders>
              <w:top w:val="single" w:sz="6" w:space="0" w:color="000000"/>
              <w:bottom w:val="single" w:sz="6" w:space="0" w:color="000000"/>
              <w:right w:val="single" w:sz="6" w:space="0" w:color="000000"/>
            </w:tcBorders>
          </w:tcPr>
          <w:p>
            <w:pPr>
              <w:pStyle w:val="TableText"/>
            </w:pPr>
            <w:r>
              <w:t>GB 18585-2023</w:t>
            </w:r>
          </w:p>
        </w:tc>
        <w:tc>
          <w:tcPr>
            <w:tcW w:w="3476" w:type="pct"/>
            <w:tcBorders>
              <w:top w:val="single" w:sz="6" w:space="0" w:color="000000"/>
              <w:bottom w:val="single" w:sz="6" w:space="0" w:color="000000"/>
            </w:tcBorders>
          </w:tcPr>
          <w:p>
            <w:pPr>
              <w:pStyle w:val="TableText"/>
            </w:pPr>
            <w:r>
              <w:t>Limits of harmful substances in wallpapers</w:t>
            </w:r>
          </w:p>
        </w:tc>
      </w:tr>
      <w:tr>
        <w:tblPrEx>
          <w:tblW w:w="7938" w:type="dxa"/>
          <w:tblInd w:w="1814" w:type="dxa"/>
          <w:tblLayout w:type="fixed"/>
          <w:tblLook w:val="01E0"/>
        </w:tblPrEx>
        <w:trPr>
          <w:cantSplit w:val="0"/>
        </w:trPr>
        <w:tc>
          <w:tcPr>
            <w:tcW w:w="1524" w:type="pct"/>
            <w:tcBorders>
              <w:top w:val="single" w:sz="6" w:space="0" w:color="000000"/>
              <w:bottom w:val="single" w:sz="6" w:space="0" w:color="000000"/>
              <w:right w:val="single" w:sz="6" w:space="0" w:color="000000"/>
            </w:tcBorders>
          </w:tcPr>
          <w:p>
            <w:pPr>
              <w:pStyle w:val="TableText"/>
            </w:pPr>
            <w:r>
              <w:t>GB 18586-2001</w:t>
            </w:r>
          </w:p>
        </w:tc>
        <w:tc>
          <w:tcPr>
            <w:tcW w:w="3476" w:type="pct"/>
            <w:tcBorders>
              <w:top w:val="single" w:sz="6" w:space="0" w:color="000000"/>
              <w:bottom w:val="single" w:sz="6" w:space="0" w:color="000000"/>
            </w:tcBorders>
          </w:tcPr>
          <w:p>
            <w:pPr>
              <w:pStyle w:val="TableText"/>
            </w:pPr>
            <w:r>
              <w:t>Limits of harmful substances in PVC roll flooring</w:t>
            </w:r>
          </w:p>
        </w:tc>
      </w:tr>
      <w:tr>
        <w:tblPrEx>
          <w:tblW w:w="7938" w:type="dxa"/>
          <w:tblInd w:w="1814" w:type="dxa"/>
          <w:tblLayout w:type="fixed"/>
          <w:tblLook w:val="01E0"/>
        </w:tblPrEx>
        <w:trPr>
          <w:cantSplit w:val="0"/>
        </w:trPr>
        <w:tc>
          <w:tcPr>
            <w:tcW w:w="1524" w:type="pct"/>
            <w:tcBorders>
              <w:top w:val="single" w:sz="6" w:space="0" w:color="000000"/>
              <w:bottom w:val="single" w:sz="6" w:space="0" w:color="000000"/>
              <w:right w:val="single" w:sz="6" w:space="0" w:color="000000"/>
            </w:tcBorders>
          </w:tcPr>
          <w:p>
            <w:pPr>
              <w:pStyle w:val="TableText"/>
            </w:pPr>
            <w:r>
              <w:t>GB 18587-2001</w:t>
            </w:r>
          </w:p>
        </w:tc>
        <w:tc>
          <w:tcPr>
            <w:tcW w:w="3476" w:type="pct"/>
            <w:tcBorders>
              <w:top w:val="single" w:sz="6" w:space="0" w:color="000000"/>
              <w:bottom w:val="single" w:sz="6" w:space="0" w:color="000000"/>
            </w:tcBorders>
          </w:tcPr>
          <w:p>
            <w:pPr>
              <w:pStyle w:val="TableText"/>
            </w:pPr>
            <w:r>
              <w:t>Limits of harmful substance emissions from carpets, carpet underlays, and carpet adhesives</w:t>
            </w:r>
          </w:p>
        </w:tc>
      </w:tr>
      <w:tr>
        <w:tblPrEx>
          <w:tblW w:w="7938" w:type="dxa"/>
          <w:tblInd w:w="1814" w:type="dxa"/>
          <w:tblLayout w:type="fixed"/>
          <w:tblLook w:val="01E0"/>
        </w:tblPrEx>
        <w:trPr>
          <w:cantSplit w:val="0"/>
        </w:trPr>
        <w:tc>
          <w:tcPr>
            <w:tcW w:w="1524" w:type="pct"/>
            <w:tcBorders>
              <w:top w:val="single" w:sz="6" w:space="0" w:color="000000"/>
              <w:bottom w:val="single" w:sz="6" w:space="0" w:color="000000"/>
              <w:right w:val="single" w:sz="6" w:space="0" w:color="000000"/>
            </w:tcBorders>
          </w:tcPr>
          <w:p>
            <w:pPr>
              <w:pStyle w:val="TableText"/>
            </w:pPr>
            <w:r>
              <w:t>GB 18588-2001</w:t>
            </w:r>
          </w:p>
        </w:tc>
        <w:tc>
          <w:tcPr>
            <w:tcW w:w="3476" w:type="pct"/>
            <w:tcBorders>
              <w:top w:val="single" w:sz="6" w:space="0" w:color="000000"/>
              <w:bottom w:val="single" w:sz="6" w:space="0" w:color="000000"/>
            </w:tcBorders>
          </w:tcPr>
          <w:p>
            <w:pPr>
              <w:pStyle w:val="TableText"/>
            </w:pPr>
            <w:r>
              <w:t>Limits of ammonia emissions from concrete admixtures</w:t>
            </w:r>
          </w:p>
        </w:tc>
      </w:tr>
      <w:tr>
        <w:tblPrEx>
          <w:tblW w:w="7938" w:type="dxa"/>
          <w:tblInd w:w="1814" w:type="dxa"/>
          <w:tblLayout w:type="fixed"/>
          <w:tblLook w:val="01E0"/>
        </w:tblPrEx>
        <w:trPr>
          <w:cantSplit w:val="0"/>
        </w:trPr>
        <w:tc>
          <w:tcPr>
            <w:tcW w:w="1524" w:type="pct"/>
            <w:tcBorders>
              <w:top w:val="single" w:sz="6" w:space="0" w:color="000000"/>
              <w:bottom w:val="single" w:sz="6" w:space="0" w:color="000000"/>
              <w:right w:val="single" w:sz="6" w:space="0" w:color="000000"/>
            </w:tcBorders>
          </w:tcPr>
          <w:p>
            <w:pPr>
              <w:pStyle w:val="TableText"/>
            </w:pPr>
            <w:r>
              <w:t>GB 6566-2010</w:t>
            </w:r>
          </w:p>
        </w:tc>
        <w:tc>
          <w:tcPr>
            <w:tcW w:w="3476" w:type="pct"/>
            <w:tcBorders>
              <w:top w:val="single" w:sz="6" w:space="0" w:color="000000"/>
              <w:bottom w:val="single" w:sz="6" w:space="0" w:color="000000"/>
            </w:tcBorders>
          </w:tcPr>
          <w:p>
            <w:pPr>
              <w:pStyle w:val="TableText"/>
            </w:pPr>
            <w:r>
              <w:t>Limit of radionuclides in building materials</w:t>
            </w:r>
          </w:p>
        </w:tc>
      </w:tr>
    </w:tbl>
    <w:p/>
    <w:p>
      <w:pPr>
        <w:pStyle w:val="NotesHeading"/>
        <w:rPr>
          <w:rFonts w:hint="eastAsia"/>
        </w:rPr>
      </w:pPr>
      <w:r>
        <w:rPr>
          <w:rFonts w:hint="eastAsia"/>
          <w:color w:val="339966"/>
        </w:rPr>
        <w:pict>
          <v:shape id="_x0000_i1057" type="#_x0000_t75" style="width:54.08pt;height:19pt">
            <v:imagedata r:id="rId15" o:title="note"/>
          </v:shape>
        </w:pict>
      </w:r>
    </w:p>
    <w:p>
      <w:pPr>
        <w:pStyle w:val="NotesText"/>
      </w:pPr>
      <w:r>
        <w:t xml:space="preserve">These national standards outline the limits of harmful elements in indoor decoration materials, including formaldehyde, total volatile organic compounds (TOVC), benzene, toluene, xylene, ammonia, free toluene diisocyanate (TDI), vinyl chloride monomer, styrene monomer, soluble lead, chromium, cadmium, mercury, and arsenic. The limits of radionuclides in building materials are also clearly specified. </w:t>
      </w:r>
    </w:p>
    <w:p>
      <w:pPr>
        <w:sectPr>
          <w:headerReference w:type="even" r:id="rId43"/>
          <w:headerReference w:type="default" r:id="rId44"/>
          <w:footerReference w:type="even" r:id="rId45"/>
          <w:footerReference w:type="default" r:id="rId46"/>
          <w:type w:val="oddPage"/>
          <w:pgSz w:w="11907" w:h="16840" w:code="9"/>
          <w:pgMar w:top="1701" w:right="1134" w:bottom="1701" w:left="1134" w:header="567" w:footer="567" w:gutter="0"/>
          <w:pgNumType w:start="1" w:chapStyle="1"/>
          <w:cols w:space="425"/>
          <w:docGrid w:linePitch="312"/>
        </w:sectPr>
      </w:pPr>
    </w:p>
    <w:bookmarkStart w:id="94" w:name="_EN-US_TOPIC_0000002571533661"/>
    <w:bookmarkEnd w:id="94"/>
    <w:p>
      <w:pPr>
        <w:pStyle w:val="Heading1"/>
      </w:pPr>
      <w:bookmarkStart w:id="95" w:name="_EN-US_TOPIC_0000002571533661-chtext"/>
      <w:bookmarkStart w:id="96" w:name="_Toc256000033"/>
      <w:r>
        <w:t>Recommended Conference Room Environment</w:t>
      </w:r>
      <w:bookmarkEnd w:id="96"/>
      <w:bookmarkEnd w:id="95"/>
    </w:p>
    <w:bookmarkStart w:id="97" w:name="_EN-US_TOPIC_0000002571413707"/>
    <w:bookmarkEnd w:id="97"/>
    <w:p>
      <w:pPr>
        <w:pStyle w:val="Heading2"/>
        <w:numPr>
          <w:numId w:val="81"/>
        </w:numPr>
      </w:pPr>
      <w:bookmarkStart w:id="98" w:name="_EN-US_TOPIC_0000002571413707-chtext"/>
      <w:bookmarkStart w:id="99" w:name="_Toc256000034"/>
      <w:r>
        <w:t>Acoustics</w:t>
      </w:r>
      <w:bookmarkEnd w:id="99"/>
      <w:bookmarkEnd w:id="98"/>
    </w:p>
    <w:p>
      <w:r>
        <w:t>This chapter takes the single-row telepresence room as an example to analyze the requirement on the acoustic aspect.</w:t>
      </w:r>
    </w:p>
    <w:p>
      <w:pPr>
        <w:pStyle w:val="Heading3"/>
        <w:numPr>
          <w:numId w:val="82"/>
        </w:numPr>
      </w:pPr>
      <w:bookmarkStart w:id="100" w:name="_EN-US_TOPIC_0000002571413703-chtext"/>
      <w:bookmarkStart w:id="101" w:name="_Toc256000035"/>
      <w:r>
        <w:t>Sound Absorption Plan I</w:t>
      </w:r>
      <w:bookmarkEnd w:id="101"/>
      <w:bookmarkEnd w:id="100"/>
    </w:p>
    <w:p>
      <w:r>
        <w:t>All walls, including the foreground, background, and side walls, are solid walls. The door is on the right side wall, and a French window is on the left side wall.</w:t>
      </w:r>
    </w:p>
    <w:p>
      <w:pPr>
        <w:pStyle w:val="FigureDescription"/>
      </w:pPr>
      <w:r>
        <w:t>Sound absorption plan I</w:t>
      </w:r>
    </w:p>
    <w:p>
      <w:pPr>
        <w:pStyle w:val="Figure"/>
      </w:pPr>
      <w:r>
        <w:pict>
          <v:shape id="_x0000_i1058" type="#_x0000_t75" style="width:395.99pt;height:286.93pt">
            <v:imagedata r:id="rId47" o:title=""/>
          </v:shape>
        </w:pict>
      </w:r>
    </w:p>
    <w:p/>
    <w:p>
      <w:r>
        <w:t xml:space="preserve">Based on the design principles described in </w:t>
      </w:r>
      <w:r>
        <w:fldChar w:fldCharType="begin"/>
      </w:r>
      <w:r>
        <w:instrText>REF _EN-US_TOPIC_0000002571533663 \r \h</w:instrText>
      </w:r>
      <w:r>
        <w:fldChar w:fldCharType="separate"/>
      </w:r>
      <w:r>
        <w:t xml:space="preserve">2.4 </w:t>
      </w:r>
      <w:r>
        <w:fldChar w:fldCharType="end"/>
      </w:r>
      <w:r>
        <w:fldChar w:fldCharType="begin"/>
      </w:r>
      <w:r>
        <w:instrText>REF _EN-US_TOPIC_0000002571533663-chtext \h</w:instrText>
      </w:r>
      <w:r>
        <w:fldChar w:fldCharType="separate"/>
      </w:r>
      <w:r>
        <w:t>Acoustics Design</w:t>
      </w:r>
      <w:r>
        <w:fldChar w:fldCharType="end"/>
      </w:r>
      <w:r>
        <w:t>, the sound absorption plan is as follows:</w:t>
      </w:r>
    </w:p>
    <w:p>
      <w:r>
        <w:t>Ceiling: perforated materials, such as perforated aluminum panels and perforated gypsum boards.</w:t>
      </w:r>
    </w:p>
    <w:p>
      <w:r>
        <w:t>Foreground wall: existing wall and white lacquered boards/ fabric wall panels.</w:t>
      </w:r>
    </w:p>
    <w:p>
      <w:r>
        <w:t>Side wall 1: French window and sound absorbing, flame-retardant fabric curtain.</w:t>
      </w:r>
    </w:p>
    <w:p>
      <w:r>
        <w:t>Side wall 2: entrance door, solid wall, and fabric wall panels.</w:t>
      </w:r>
    </w:p>
    <w:p>
      <w:r>
        <w:t>Background wall: fabric wall panels.</w:t>
      </w:r>
    </w:p>
    <w:p>
      <w:r>
        <w:t>Floor: carpet.</w:t>
      </w:r>
    </w:p>
    <w:p>
      <w:r>
        <w:t xml:space="preserve">Assume that the overall structure of a single-row telepresence system (including the devices, sheet metal, and conference table) does not have sound absorption properties. In a fully occupied telepresence room, six participants are seated on soft chairs. According to the simulation analysis using acoustic design software, the reverberation time (RT) curve of the conference room is relatively flat. The average RT across all frequency bands is 0.38 seconds. For a telepresence room primarily focused on voice communication, this RT value can deliver a good speech transmission index (STI). The </w:t>
      </w:r>
      <w:r>
        <w:fldChar w:fldCharType="begin"/>
      </w:r>
      <w:r>
        <w:instrText>REF _fig19134453 \r \h</w:instrText>
      </w:r>
      <w:r>
        <w:fldChar w:fldCharType="separate"/>
      </w:r>
      <w:r>
        <w:t>Figure 3-2</w:t>
      </w:r>
      <w:r>
        <w:fldChar w:fldCharType="end"/>
      </w:r>
      <w:r>
        <w:t xml:space="preserve"> shows the RT curve.</w:t>
      </w:r>
    </w:p>
    <w:bookmarkStart w:id="102" w:name="_fig19134453"/>
    <w:bookmarkEnd w:id="102"/>
    <w:p>
      <w:pPr>
        <w:pStyle w:val="FigureDescription"/>
      </w:pPr>
      <w:r>
        <w:t>Reverberation time (RT) curve</w:t>
      </w:r>
    </w:p>
    <w:p>
      <w:pPr>
        <w:pStyle w:val="Figure"/>
      </w:pPr>
      <w:r>
        <w:pict>
          <v:shape id="_x0000_i1059" type="#_x0000_t75" style="width:393.75pt;height:164.83pt">
            <v:imagedata r:id="rId48" o:title=""/>
          </v:shape>
        </w:pict>
      </w:r>
    </w:p>
    <w:p/>
    <w:p>
      <w:r>
        <w:t xml:space="preserve">In this sound absorption plan, the STI is greater than 0.838, and the corresponding level is excellent. As shown in </w:t>
      </w:r>
      <w:r>
        <w:fldChar w:fldCharType="begin"/>
      </w:r>
      <w:r>
        <w:instrText>REF _fig6386838 \r \h</w:instrText>
      </w:r>
      <w:r>
        <w:fldChar w:fldCharType="separate"/>
      </w:r>
      <w:r>
        <w:t>Figure 3-3</w:t>
      </w:r>
      <w:r>
        <w:fldChar w:fldCharType="end"/>
      </w:r>
      <w:r>
        <w:t>.</w:t>
      </w:r>
    </w:p>
    <w:bookmarkStart w:id="103" w:name="_fig6386838"/>
    <w:bookmarkEnd w:id="103"/>
    <w:p>
      <w:pPr>
        <w:pStyle w:val="FigureDescription"/>
      </w:pPr>
      <w:r>
        <w:t>Speech transmission index (STI)</w:t>
      </w:r>
    </w:p>
    <w:p>
      <w:pPr>
        <w:pStyle w:val="Figure"/>
      </w:pPr>
      <w:r>
        <w:pict>
          <v:shape id="_x0000_i1060" type="#_x0000_t75" style="width:393.75pt;height:149.75pt">
            <v:imagedata r:id="rId49" o:title=""/>
          </v:shape>
        </w:pict>
      </w:r>
    </w:p>
    <w:p/>
    <w:p>
      <w:pPr>
        <w:pStyle w:val="Heading3"/>
      </w:pPr>
      <w:bookmarkStart w:id="104" w:name="_EN-US_TOPIC_0000002571533669-chtext"/>
      <w:bookmarkStart w:id="105" w:name="_Toc256000036"/>
      <w:r>
        <w:t>Sound Absorption Plan II</w:t>
      </w:r>
      <w:bookmarkEnd w:id="105"/>
      <w:bookmarkEnd w:id="104"/>
    </w:p>
    <w:p>
      <w:r>
        <w:t>The foreground and background walls of the conference room are solid walls. The door is on the right side wall, and a glass window is on the left side wall. The right side wall has a French window and an entrance.</w:t>
      </w:r>
    </w:p>
    <w:p>
      <w:pPr>
        <w:pStyle w:val="FigureDescription"/>
      </w:pPr>
      <w:r>
        <w:t>Sound absorption plan II</w:t>
      </w:r>
    </w:p>
    <w:p>
      <w:pPr>
        <w:pStyle w:val="Figure"/>
      </w:pPr>
      <w:r>
        <w:pict>
          <v:shape id="_x0000_i1061" type="#_x0000_t75" style="width:341pt;height:239.78pt">
            <v:imagedata r:id="rId50" o:title=""/>
          </v:shape>
        </w:pict>
      </w:r>
    </w:p>
    <w:p/>
    <w:p>
      <w:r>
        <w:t xml:space="preserve">Based on the design principles described in </w:t>
      </w:r>
      <w:r>
        <w:fldChar w:fldCharType="begin"/>
      </w:r>
      <w:r>
        <w:instrText>REF _EN-US_TOPIC_0000002571533663 \r \h</w:instrText>
      </w:r>
      <w:r>
        <w:fldChar w:fldCharType="separate"/>
      </w:r>
      <w:r>
        <w:t xml:space="preserve">2.4 </w:t>
      </w:r>
      <w:r>
        <w:fldChar w:fldCharType="end"/>
      </w:r>
      <w:r>
        <w:fldChar w:fldCharType="begin"/>
      </w:r>
      <w:r>
        <w:instrText>REF _EN-US_TOPIC_0000002571533663-chtext \h</w:instrText>
      </w:r>
      <w:r>
        <w:fldChar w:fldCharType="separate"/>
      </w:r>
      <w:r>
        <w:t>Acoustics Design</w:t>
      </w:r>
      <w:r>
        <w:fldChar w:fldCharType="end"/>
      </w:r>
      <w:r>
        <w:t>, the sound absorption plan is as follows:</w:t>
      </w:r>
    </w:p>
    <w:p>
      <w:r>
        <w:t>Ceiling: perforated materials, such as perforated aluminum panels and perforated gypsum boards.</w:t>
      </w:r>
    </w:p>
    <w:p>
      <w:r>
        <w:t>Foreground wall: existing wall and white lacquered boards/wood veneer/fabric wall panels.</w:t>
      </w:r>
    </w:p>
    <w:p>
      <w:r>
        <w:t>Side wall 1: French window and sound absorbing, flame-retardant fabric curtain.</w:t>
      </w:r>
    </w:p>
    <w:p>
      <w:r>
        <w:t>Side wall 2: French window and sound absorbing, flame-retardant fabric curtain.</w:t>
      </w:r>
    </w:p>
    <w:p>
      <w:r>
        <w:t>Background wall: fabric wall panels.</w:t>
      </w:r>
    </w:p>
    <w:p>
      <w:r>
        <w:t>Floor: carpet.</w:t>
      </w:r>
    </w:p>
    <w:p>
      <w:r>
        <w:t xml:space="preserve">Assume that the overall structure of a single-row telepresence system (including the devices, sheet metal, and conference table) does not have sound absorption properties. In a fully occupied telepresence room, six participants are seated on soft chairs. According to the simulation analysis using acoustic design software, the RT curve shows that the low-frequency part is relatively active and the high-frequency part is well absorbed. The average RT is 0.42 seconds. For a telepresence room primarily focused on voice amplification, this RT value can deliver a good speech transmission index (STI). The </w:t>
      </w:r>
      <w:r>
        <w:fldChar w:fldCharType="begin"/>
      </w:r>
      <w:r>
        <w:instrText>REF _fig46185854 \r \h</w:instrText>
      </w:r>
      <w:r>
        <w:fldChar w:fldCharType="separate"/>
      </w:r>
      <w:r>
        <w:t>Figure 3-5</w:t>
      </w:r>
      <w:r>
        <w:fldChar w:fldCharType="end"/>
      </w:r>
      <w:r>
        <w:t xml:space="preserve"> shows the RT curve.</w:t>
      </w:r>
    </w:p>
    <w:bookmarkStart w:id="106" w:name="_fig46185854"/>
    <w:bookmarkEnd w:id="106"/>
    <w:p>
      <w:pPr>
        <w:pStyle w:val="FigureDescription"/>
      </w:pPr>
      <w:r>
        <w:t>Reverberation time (RT) curve</w:t>
      </w:r>
    </w:p>
    <w:p>
      <w:pPr>
        <w:pStyle w:val="Figure"/>
      </w:pPr>
      <w:r>
        <w:pict>
          <v:shape id="_x0000_i1062" type="#_x0000_t75" style="width:393.75pt;height:168.83pt">
            <v:imagedata r:id="rId51" o:title=""/>
          </v:shape>
        </w:pict>
      </w:r>
    </w:p>
    <w:p/>
    <w:p>
      <w:r>
        <w:t xml:space="preserve">In this sound absorption plan, the speech transmission index is greater than 0.826, and the corresponding level is excellent. As shown in </w:t>
      </w:r>
      <w:r>
        <w:fldChar w:fldCharType="begin"/>
      </w:r>
      <w:r>
        <w:instrText>REF _fig50066679 \r \h</w:instrText>
      </w:r>
      <w:r>
        <w:fldChar w:fldCharType="separate"/>
      </w:r>
      <w:r>
        <w:t>Figure 3-6</w:t>
      </w:r>
      <w:r>
        <w:fldChar w:fldCharType="end"/>
      </w:r>
      <w:r>
        <w:t>.</w:t>
      </w:r>
    </w:p>
    <w:bookmarkStart w:id="107" w:name="_fig50066679"/>
    <w:bookmarkEnd w:id="107"/>
    <w:p>
      <w:pPr>
        <w:pStyle w:val="FigureDescription"/>
      </w:pPr>
      <w:r>
        <w:t>Speech transmission index (STI)</w:t>
      </w:r>
    </w:p>
    <w:p>
      <w:pPr>
        <w:pStyle w:val="Figure"/>
      </w:pPr>
      <w:r>
        <w:pict>
          <v:shape id="_x0000_i1063" type="#_x0000_t75" style="width:393.75pt;height:140.38pt">
            <v:imagedata r:id="rId52" o:title=""/>
          </v:shape>
        </w:pict>
      </w:r>
    </w:p>
    <w:p/>
    <w:bookmarkStart w:id="108" w:name="_EN-US_TOPIC_0000002540893712"/>
    <w:bookmarkEnd w:id="108"/>
    <w:p>
      <w:pPr>
        <w:pStyle w:val="Heading2"/>
      </w:pPr>
      <w:bookmarkStart w:id="109" w:name="_EN-US_TOPIC_0000002540893712-chtext"/>
      <w:bookmarkStart w:id="110" w:name="_Toc256000037"/>
      <w:r>
        <w:t>Illumination</w:t>
      </w:r>
      <w:bookmarkEnd w:id="110"/>
      <w:bookmarkEnd w:id="109"/>
    </w:p>
    <w:p>
      <w:pPr>
        <w:pStyle w:val="Heading3"/>
        <w:numPr>
          <w:numId w:val="85"/>
        </w:numPr>
      </w:pPr>
      <w:bookmarkStart w:id="111" w:name="_EN-US_TOPIC_0000002540893378-chtext"/>
      <w:bookmarkStart w:id="112" w:name="_Toc256000038"/>
      <w:r>
        <w:t>Light Fitting Layout</w:t>
      </w:r>
      <w:bookmarkEnd w:id="112"/>
      <w:bookmarkEnd w:id="111"/>
    </w:p>
    <w:p>
      <w:pPr>
        <w:pStyle w:val="Heading4"/>
        <w:numPr>
          <w:numId w:val="86"/>
        </w:numPr>
      </w:pPr>
      <w:bookmarkStart w:id="113" w:name="_EN-US_TOPIC_0000002571533667-chtext"/>
      <w:bookmarkStart w:id="114" w:name="_Toc256000039"/>
      <w:r>
        <w:t>Single-Row Telepresence Rooms</w:t>
      </w:r>
      <w:bookmarkEnd w:id="114"/>
      <w:bookmarkEnd w:id="113"/>
    </w:p>
    <w:p>
      <w:r>
        <w:t>The following uses a single-row telepresence room with six seats as an example. Twelve flat panel spotlights are evenly distributed in three rows on the ceiling. According to the lighting software analysis, when the lights are turned on, the illumination in the entire conference area and around the conference table is even. The maximum illumination is about 1400 lux, the average illumination is 1281 lux, and the illumination on the wall is 850 lux. The illumination parameters are within the required range of the telepresence room, and the unified glare rating (UGR) ranges from 13 to 15. The glare evaluation level is slight glare, which can be ignored. This plan provides a good lighting environment.</w:t>
      </w:r>
    </w:p>
    <w:p>
      <w:pPr>
        <w:pStyle w:val="FigureDescription"/>
      </w:pPr>
      <w:r>
        <w:t>Light fitting layout</w:t>
      </w:r>
    </w:p>
    <w:p>
      <w:pPr>
        <w:pStyle w:val="Figure"/>
      </w:pPr>
      <w:r>
        <w:pict>
          <v:shape id="_x0000_i1064" type="#_x0000_t75" style="width:393.75pt;height:296.69pt">
            <v:imagedata r:id="rId53" o:title=""/>
          </v:shape>
        </w:pict>
      </w:r>
    </w:p>
    <w:p/>
    <w:p>
      <w:pPr>
        <w:pStyle w:val="Heading4"/>
      </w:pPr>
      <w:bookmarkStart w:id="115" w:name="_EN-US_TOPIC_0000002571413713-chtext"/>
      <w:bookmarkStart w:id="116" w:name="_Toc256000040"/>
      <w:r>
        <w:t>Telepresence Room with Double-Row Tables</w:t>
      </w:r>
      <w:bookmarkEnd w:id="116"/>
      <w:bookmarkEnd w:id="115"/>
    </w:p>
    <w:p>
      <w:r>
        <w:t>The following uses a dual-row telepresence room with 18 seats as an example. Eighteen flat panel spotlights are evenly distributed in three rows on the ceiling. According to the lighting software analysis, when the lights are turned on, the illumination in the entire conference area and around the conference table is even. The maximum illumination is about 2788 lux, and the average illumination is 1463 lux. The illumination parameters are within the required range of the telepresence room, and the unified glare rating (UGR) ranges from 13 to 15. The glare evaluation level is slight glare, which can be ignored. This plan provides a good lighting environment.</w:t>
      </w:r>
    </w:p>
    <w:p>
      <w:pPr>
        <w:pStyle w:val="FigureDescription"/>
      </w:pPr>
      <w:r>
        <w:t>Light fitting layout</w:t>
      </w:r>
    </w:p>
    <w:p>
      <w:pPr>
        <w:pStyle w:val="Figure"/>
      </w:pPr>
      <w:r>
        <w:pict>
          <v:shape id="_x0000_i1065" type="#_x0000_t75" style="width:393.75pt;height:269.79pt">
            <v:imagedata r:id="rId54" o:title=""/>
          </v:shape>
        </w:pict>
      </w:r>
    </w:p>
    <w:p/>
    <w:p>
      <w:pPr>
        <w:pStyle w:val="Heading3"/>
      </w:pPr>
      <w:bookmarkStart w:id="117" w:name="_EN-US_TOPIC_0000002571533659-chtext"/>
      <w:bookmarkStart w:id="118" w:name="_Toc256000041"/>
      <w:r>
        <w:t>Lamp Selection</w:t>
      </w:r>
      <w:bookmarkEnd w:id="118"/>
      <w:bookmarkEnd w:id="117"/>
    </w:p>
    <w:p>
      <w:pPr>
        <w:pStyle w:val="BlockLabel"/>
      </w:pPr>
      <w:r>
        <w:t>Recommended Light Sources for Single-Row Telepresence Room Lighting</w:t>
      </w:r>
    </w:p>
    <w:p>
      <w:r>
        <w:t>Light source parameters: high CRI LED light source, 4000K color temperature, color rendering index (Ra) ≥ 90, and service life of more than 20,000 hours.</w:t>
      </w:r>
    </w:p>
    <w:p>
      <w:pPr>
        <w:pStyle w:val="TableDescription"/>
      </w:pPr>
      <w:r>
        <w:t>Lamp parameters</w:t>
      </w:r>
    </w:p>
    <w:tbl>
      <w:tblPr>
        <w:tblStyle w:val="Table"/>
        <w:tblW w:w="7938" w:type="dxa"/>
        <w:tblInd w:w="1814" w:type="dxa"/>
        <w:tblLayout w:type="fixed"/>
        <w:tblLook w:val="01E0"/>
      </w:tblPr>
      <w:tblGrid>
        <w:gridCol w:w="1133"/>
        <w:gridCol w:w="2026"/>
        <w:gridCol w:w="972"/>
        <w:gridCol w:w="1054"/>
        <w:gridCol w:w="2753"/>
      </w:tblGrid>
      <w:tr>
        <w:tblPrEx>
          <w:tblW w:w="7938" w:type="dxa"/>
          <w:tblInd w:w="1814" w:type="dxa"/>
          <w:tblLayout w:type="fixed"/>
          <w:tblLook w:val="01E0"/>
        </w:tblPrEx>
        <w:trPr>
          <w:cantSplit w:val="0"/>
          <w:tblHeader/>
        </w:trPr>
        <w:tc>
          <w:tcPr>
            <w:tcW w:w="714" w:type="pct"/>
            <w:tcBorders>
              <w:top w:val="single" w:sz="6" w:space="0" w:color="000000"/>
              <w:bottom w:val="single" w:sz="6" w:space="0" w:color="000000"/>
              <w:right w:val="single" w:sz="6" w:space="0" w:color="000000"/>
            </w:tcBorders>
            <w:shd w:val="clear" w:color="auto" w:fill="D9D9D9"/>
          </w:tcPr>
          <w:p>
            <w:pPr>
              <w:pStyle w:val="TableHeading"/>
            </w:pPr>
            <w:r>
              <w:t>Brand</w:t>
            </w:r>
          </w:p>
        </w:tc>
        <w:tc>
          <w:tcPr>
            <w:tcW w:w="1276" w:type="pct"/>
            <w:tcBorders>
              <w:top w:val="single" w:sz="6" w:space="0" w:color="000000"/>
              <w:bottom w:val="single" w:sz="6" w:space="0" w:color="000000"/>
              <w:right w:val="single" w:sz="6" w:space="0" w:color="000000"/>
            </w:tcBorders>
            <w:shd w:val="clear" w:color="auto" w:fill="D9D9D9"/>
          </w:tcPr>
          <w:p>
            <w:pPr>
              <w:pStyle w:val="TableHeading"/>
            </w:pPr>
            <w:r>
              <w:t>Model</w:t>
            </w:r>
          </w:p>
        </w:tc>
        <w:tc>
          <w:tcPr>
            <w:tcW w:w="612" w:type="pct"/>
            <w:tcBorders>
              <w:top w:val="single" w:sz="6" w:space="0" w:color="000000"/>
              <w:bottom w:val="single" w:sz="6" w:space="0" w:color="000000"/>
              <w:right w:val="single" w:sz="6" w:space="0" w:color="000000"/>
            </w:tcBorders>
            <w:shd w:val="clear" w:color="auto" w:fill="D9D9D9"/>
          </w:tcPr>
          <w:p>
            <w:pPr>
              <w:pStyle w:val="TableHeading"/>
            </w:pPr>
            <w:r>
              <w:t>Power</w:t>
            </w:r>
          </w:p>
        </w:tc>
        <w:tc>
          <w:tcPr>
            <w:tcW w:w="664" w:type="pct"/>
            <w:tcBorders>
              <w:top w:val="single" w:sz="6" w:space="0" w:color="000000"/>
              <w:bottom w:val="single" w:sz="6" w:space="0" w:color="000000"/>
              <w:right w:val="single" w:sz="6" w:space="0" w:color="000000"/>
            </w:tcBorders>
            <w:shd w:val="clear" w:color="auto" w:fill="D9D9D9"/>
          </w:tcPr>
          <w:p>
            <w:pPr>
              <w:pStyle w:val="TableHeading"/>
            </w:pPr>
            <w:r>
              <w:t>CRI</w:t>
            </w:r>
          </w:p>
        </w:tc>
        <w:tc>
          <w:tcPr>
            <w:tcW w:w="1734" w:type="pct"/>
            <w:tcBorders>
              <w:top w:val="single" w:sz="6" w:space="0" w:color="000000"/>
              <w:bottom w:val="single" w:sz="6" w:space="0" w:color="000000"/>
            </w:tcBorders>
            <w:shd w:val="clear" w:color="auto" w:fill="D9D9D9"/>
          </w:tcPr>
          <w:p>
            <w:pPr>
              <w:pStyle w:val="TableHeading"/>
            </w:pPr>
            <w:r>
              <w:t>Size</w:t>
            </w:r>
          </w:p>
        </w:tc>
      </w:tr>
      <w:tr>
        <w:tblPrEx>
          <w:tblW w:w="7938" w:type="dxa"/>
          <w:tblInd w:w="1814" w:type="dxa"/>
          <w:tblLayout w:type="fixed"/>
          <w:tblLook w:val="01E0"/>
        </w:tblPrEx>
        <w:trPr>
          <w:cantSplit w:val="0"/>
        </w:trPr>
        <w:tc>
          <w:tcPr>
            <w:tcW w:w="714" w:type="pct"/>
            <w:tcBorders>
              <w:top w:val="single" w:sz="6" w:space="0" w:color="000000"/>
              <w:bottom w:val="single" w:sz="6" w:space="0" w:color="000000"/>
              <w:right w:val="single" w:sz="6" w:space="0" w:color="000000"/>
            </w:tcBorders>
          </w:tcPr>
          <w:p>
            <w:pPr>
              <w:pStyle w:val="TableText"/>
            </w:pPr>
            <w:r>
              <w:t>Ewinlight</w:t>
            </w:r>
          </w:p>
        </w:tc>
        <w:tc>
          <w:tcPr>
            <w:tcW w:w="1276" w:type="pct"/>
            <w:tcBorders>
              <w:top w:val="single" w:sz="6" w:space="0" w:color="000000"/>
              <w:bottom w:val="single" w:sz="6" w:space="0" w:color="000000"/>
              <w:right w:val="single" w:sz="6" w:space="0" w:color="000000"/>
            </w:tcBorders>
          </w:tcPr>
          <w:p>
            <w:pPr>
              <w:pStyle w:val="TableText"/>
            </w:pPr>
            <w:r>
              <w:t>SP-1</w:t>
            </w:r>
          </w:p>
        </w:tc>
        <w:tc>
          <w:tcPr>
            <w:tcW w:w="612" w:type="pct"/>
            <w:tcBorders>
              <w:top w:val="single" w:sz="6" w:space="0" w:color="000000"/>
              <w:bottom w:val="single" w:sz="6" w:space="0" w:color="000000"/>
              <w:right w:val="single" w:sz="6" w:space="0" w:color="000000"/>
            </w:tcBorders>
          </w:tcPr>
          <w:p>
            <w:pPr>
              <w:pStyle w:val="TableText"/>
            </w:pPr>
            <w:r>
              <w:t>60W</w:t>
            </w:r>
          </w:p>
        </w:tc>
        <w:tc>
          <w:tcPr>
            <w:tcW w:w="664" w:type="pct"/>
            <w:tcBorders>
              <w:top w:val="single" w:sz="6" w:space="0" w:color="000000"/>
              <w:bottom w:val="single" w:sz="6" w:space="0" w:color="000000"/>
              <w:right w:val="single" w:sz="6" w:space="0" w:color="000000"/>
            </w:tcBorders>
          </w:tcPr>
          <w:p>
            <w:pPr>
              <w:pStyle w:val="TableText"/>
            </w:pPr>
            <w:r>
              <w:t>Ra≥90</w:t>
            </w:r>
          </w:p>
        </w:tc>
        <w:tc>
          <w:tcPr>
            <w:tcW w:w="1734" w:type="pct"/>
            <w:tcBorders>
              <w:top w:val="single" w:sz="6" w:space="0" w:color="000000"/>
              <w:bottom w:val="single" w:sz="6" w:space="0" w:color="000000"/>
            </w:tcBorders>
          </w:tcPr>
          <w:p>
            <w:pPr>
              <w:pStyle w:val="TableText"/>
            </w:pPr>
            <w:r>
              <w:t>595 mm x 595 mm x 73 mm</w:t>
            </w:r>
          </w:p>
        </w:tc>
      </w:tr>
    </w:tbl>
    <w:p/>
    <w:p>
      <w:pPr>
        <w:pStyle w:val="FigureDescription"/>
      </w:pPr>
      <w:r>
        <w:t>Flat spotlight (SP-1)</w:t>
      </w:r>
    </w:p>
    <w:p>
      <w:pPr>
        <w:pStyle w:val="Figure"/>
      </w:pPr>
      <w:r>
        <w:pict>
          <v:shape id="_x0000_i1066" type="#_x0000_t75" style="width:210.96pt;height:202.32pt">
            <v:imagedata r:id="rId55" o:title=""/>
          </v:shape>
        </w:pict>
      </w:r>
    </w:p>
    <w:p/>
    <w:p>
      <w:r>
        <w:pict>
          <v:shape id="_x0000_i1067" type="#_x0000_t75" style="width:393.75pt;height:278.25pt">
            <v:imagedata r:id="rId56" o:title=""/>
          </v:shape>
        </w:pict>
      </w:r>
    </w:p>
    <w:p>
      <w:pPr>
        <w:pStyle w:val="BlockLabel"/>
      </w:pPr>
      <w:r>
        <w:t>Recommended Light Sources for Dual-Row Telepresence Room Lighting</w:t>
      </w:r>
    </w:p>
    <w:p>
      <w:r>
        <w:t>Light source parameters: high CRI LED light source, 4000K color temperature, color rendering index (Ra) ≥ 90, and service life of more than 20,000 hours.</w:t>
      </w:r>
    </w:p>
    <w:p>
      <w:pPr>
        <w:pStyle w:val="TableDescription"/>
      </w:pPr>
      <w:r>
        <w:t>Lamp parameters</w:t>
      </w:r>
    </w:p>
    <w:tbl>
      <w:tblPr>
        <w:tblStyle w:val="Table"/>
        <w:tblW w:w="7938" w:type="dxa"/>
        <w:tblInd w:w="1814" w:type="dxa"/>
        <w:tblLayout w:type="fixed"/>
        <w:tblLook w:val="01E0"/>
      </w:tblPr>
      <w:tblGrid>
        <w:gridCol w:w="1133"/>
        <w:gridCol w:w="2026"/>
        <w:gridCol w:w="972"/>
        <w:gridCol w:w="1054"/>
        <w:gridCol w:w="2753"/>
      </w:tblGrid>
      <w:tr>
        <w:tblPrEx>
          <w:tblW w:w="7938" w:type="dxa"/>
          <w:tblInd w:w="1814" w:type="dxa"/>
          <w:tblLayout w:type="fixed"/>
          <w:tblLook w:val="01E0"/>
        </w:tblPrEx>
        <w:trPr>
          <w:cantSplit w:val="0"/>
          <w:tblHeader/>
        </w:trPr>
        <w:tc>
          <w:tcPr>
            <w:tcW w:w="714" w:type="pct"/>
            <w:tcBorders>
              <w:top w:val="single" w:sz="6" w:space="0" w:color="000000"/>
              <w:bottom w:val="single" w:sz="6" w:space="0" w:color="000000"/>
              <w:right w:val="single" w:sz="6" w:space="0" w:color="000000"/>
            </w:tcBorders>
            <w:shd w:val="clear" w:color="auto" w:fill="D9D9D9"/>
          </w:tcPr>
          <w:p>
            <w:pPr>
              <w:pStyle w:val="TableHeading"/>
            </w:pPr>
            <w:r>
              <w:t>Brand</w:t>
            </w:r>
          </w:p>
        </w:tc>
        <w:tc>
          <w:tcPr>
            <w:tcW w:w="1276" w:type="pct"/>
            <w:tcBorders>
              <w:top w:val="single" w:sz="6" w:space="0" w:color="000000"/>
              <w:bottom w:val="single" w:sz="6" w:space="0" w:color="000000"/>
              <w:right w:val="single" w:sz="6" w:space="0" w:color="000000"/>
            </w:tcBorders>
            <w:shd w:val="clear" w:color="auto" w:fill="D9D9D9"/>
          </w:tcPr>
          <w:p>
            <w:pPr>
              <w:pStyle w:val="TableHeading"/>
            </w:pPr>
            <w:r>
              <w:t>Model</w:t>
            </w:r>
          </w:p>
        </w:tc>
        <w:tc>
          <w:tcPr>
            <w:tcW w:w="612" w:type="pct"/>
            <w:tcBorders>
              <w:top w:val="single" w:sz="6" w:space="0" w:color="000000"/>
              <w:bottom w:val="single" w:sz="6" w:space="0" w:color="000000"/>
              <w:right w:val="single" w:sz="6" w:space="0" w:color="000000"/>
            </w:tcBorders>
            <w:shd w:val="clear" w:color="auto" w:fill="D9D9D9"/>
          </w:tcPr>
          <w:p>
            <w:pPr>
              <w:pStyle w:val="TableHeading"/>
            </w:pPr>
            <w:r>
              <w:t>Power</w:t>
            </w:r>
          </w:p>
        </w:tc>
        <w:tc>
          <w:tcPr>
            <w:tcW w:w="664" w:type="pct"/>
            <w:tcBorders>
              <w:top w:val="single" w:sz="6" w:space="0" w:color="000000"/>
              <w:bottom w:val="single" w:sz="6" w:space="0" w:color="000000"/>
              <w:right w:val="single" w:sz="6" w:space="0" w:color="000000"/>
            </w:tcBorders>
            <w:shd w:val="clear" w:color="auto" w:fill="D9D9D9"/>
          </w:tcPr>
          <w:p>
            <w:pPr>
              <w:pStyle w:val="TableHeading"/>
            </w:pPr>
            <w:r>
              <w:t>CRI</w:t>
            </w:r>
          </w:p>
        </w:tc>
        <w:tc>
          <w:tcPr>
            <w:tcW w:w="1734" w:type="pct"/>
            <w:tcBorders>
              <w:top w:val="single" w:sz="6" w:space="0" w:color="000000"/>
              <w:bottom w:val="single" w:sz="6" w:space="0" w:color="000000"/>
            </w:tcBorders>
            <w:shd w:val="clear" w:color="auto" w:fill="D9D9D9"/>
          </w:tcPr>
          <w:p>
            <w:pPr>
              <w:pStyle w:val="TableHeading"/>
            </w:pPr>
            <w:r>
              <w:t>Size</w:t>
            </w:r>
          </w:p>
        </w:tc>
      </w:tr>
      <w:tr>
        <w:tblPrEx>
          <w:tblW w:w="7938" w:type="dxa"/>
          <w:tblInd w:w="1814" w:type="dxa"/>
          <w:tblLayout w:type="fixed"/>
          <w:tblLook w:val="01E0"/>
        </w:tblPrEx>
        <w:trPr>
          <w:cantSplit w:val="0"/>
        </w:trPr>
        <w:tc>
          <w:tcPr>
            <w:tcW w:w="714" w:type="pct"/>
            <w:tcBorders>
              <w:top w:val="single" w:sz="6" w:space="0" w:color="000000"/>
              <w:bottom w:val="single" w:sz="6" w:space="0" w:color="000000"/>
              <w:right w:val="single" w:sz="6" w:space="0" w:color="000000"/>
            </w:tcBorders>
          </w:tcPr>
          <w:p>
            <w:pPr>
              <w:pStyle w:val="TableText"/>
            </w:pPr>
            <w:r>
              <w:t>Ewinlight</w:t>
            </w:r>
          </w:p>
        </w:tc>
        <w:tc>
          <w:tcPr>
            <w:tcW w:w="1276" w:type="pct"/>
            <w:tcBorders>
              <w:top w:val="single" w:sz="6" w:space="0" w:color="000000"/>
              <w:bottom w:val="single" w:sz="6" w:space="0" w:color="000000"/>
              <w:right w:val="single" w:sz="6" w:space="0" w:color="000000"/>
            </w:tcBorders>
          </w:tcPr>
          <w:p>
            <w:pPr>
              <w:pStyle w:val="TableText"/>
            </w:pPr>
            <w:r>
              <w:t>SP-3</w:t>
            </w:r>
          </w:p>
        </w:tc>
        <w:tc>
          <w:tcPr>
            <w:tcW w:w="612" w:type="pct"/>
            <w:tcBorders>
              <w:top w:val="single" w:sz="6" w:space="0" w:color="000000"/>
              <w:bottom w:val="single" w:sz="6" w:space="0" w:color="000000"/>
              <w:right w:val="single" w:sz="6" w:space="0" w:color="000000"/>
            </w:tcBorders>
          </w:tcPr>
          <w:p>
            <w:pPr>
              <w:pStyle w:val="TableText"/>
            </w:pPr>
            <w:r>
              <w:t>60W</w:t>
            </w:r>
          </w:p>
        </w:tc>
        <w:tc>
          <w:tcPr>
            <w:tcW w:w="664" w:type="pct"/>
            <w:tcBorders>
              <w:top w:val="single" w:sz="6" w:space="0" w:color="000000"/>
              <w:bottom w:val="single" w:sz="6" w:space="0" w:color="000000"/>
              <w:right w:val="single" w:sz="6" w:space="0" w:color="000000"/>
            </w:tcBorders>
          </w:tcPr>
          <w:p>
            <w:pPr>
              <w:pStyle w:val="TableText"/>
            </w:pPr>
            <w:r>
              <w:t>Ra≥90</w:t>
            </w:r>
          </w:p>
        </w:tc>
        <w:tc>
          <w:tcPr>
            <w:tcW w:w="1734" w:type="pct"/>
            <w:tcBorders>
              <w:top w:val="single" w:sz="6" w:space="0" w:color="000000"/>
              <w:bottom w:val="single" w:sz="6" w:space="0" w:color="000000"/>
            </w:tcBorders>
          </w:tcPr>
          <w:p>
            <w:pPr>
              <w:pStyle w:val="TableText"/>
            </w:pPr>
            <w:r>
              <w:t>1195 mm x 295 mm x 73 mm</w:t>
            </w:r>
          </w:p>
        </w:tc>
      </w:tr>
    </w:tbl>
    <w:p/>
    <w:p>
      <w:pPr>
        <w:pStyle w:val="FigureDescription"/>
      </w:pPr>
      <w:r>
        <w:t>Flat spotlight (SP-3)</w:t>
      </w:r>
    </w:p>
    <w:p>
      <w:pPr>
        <w:pStyle w:val="Figure"/>
      </w:pPr>
      <w:r>
        <w:pict>
          <v:shape id="_x0000_i1068" type="#_x0000_t75" style="width:285.84pt;height:108pt">
            <v:imagedata r:id="rId57" o:title=""/>
          </v:shape>
        </w:pict>
      </w:r>
    </w:p>
    <w:p/>
    <w:bookmarkStart w:id="119" w:name="_EN-US_TOPIC_0000002540893376"/>
    <w:bookmarkEnd w:id="119"/>
    <w:p>
      <w:pPr>
        <w:pStyle w:val="Heading2"/>
      </w:pPr>
      <w:bookmarkStart w:id="120" w:name="_EN-US_TOPIC_0000002540893376-chtext"/>
      <w:bookmarkStart w:id="121" w:name="_Toc256000042"/>
      <w:r>
        <w:t>Wall Reconstruction</w:t>
      </w:r>
      <w:bookmarkEnd w:id="121"/>
      <w:bookmarkEnd w:id="120"/>
    </w:p>
    <w:p>
      <w:pPr>
        <w:pStyle w:val="Heading3"/>
        <w:numPr>
          <w:numId w:val="90"/>
        </w:numPr>
      </w:pPr>
      <w:bookmarkStart w:id="122" w:name="_EN-US_TOPIC_0000002540893372-chtext"/>
      <w:bookmarkStart w:id="123" w:name="_Toc256000043"/>
      <w:r>
        <w:t>Background Wall</w:t>
      </w:r>
      <w:bookmarkEnd w:id="123"/>
      <w:bookmarkEnd w:id="122"/>
    </w:p>
    <w:p>
      <w:r>
        <w:t>Principally, the entrance door is not allowed in the background wall. If the door is in the background wall, apply fabric wall panels to the door inside using the flame-retardant fabric.</w:t>
      </w:r>
    </w:p>
    <w:p>
      <w:r>
        <w:t>The background wall must be soundproof and be able to absorb high-frequencies of sound. It is comprised of an existing wall, wood joist, 15 mm (0.59 in.) blockboard, 30 mm (1.18 in.) sound absorbing sponge and flame-retardant fabric wall panels. All materials must be of the fire protection level B1 and environmental protection level E1.</w:t>
      </w:r>
    </w:p>
    <w:p>
      <w:pPr>
        <w:pStyle w:val="Heading3"/>
      </w:pPr>
      <w:bookmarkStart w:id="124" w:name="_EN-US_TOPIC_0000002540893360-chtext"/>
      <w:bookmarkStart w:id="125" w:name="_Toc256000044"/>
      <w:r>
        <w:t>Foreground Wall</w:t>
      </w:r>
      <w:bookmarkEnd w:id="125"/>
      <w:bookmarkEnd w:id="124"/>
    </w:p>
    <w:p>
      <w:r>
        <w:t>The foreground wall of a telepresence room must be soundproof and be able to absorb low-frequency sound.</w:t>
      </w:r>
    </w:p>
    <w:p>
      <w:r>
        <w:t>Foreground wall structure: original wall + 9 mm thick white lacquered board/wood veneer (all the materials must meet the fireproof B1 and environmental protection E1 standards).</w:t>
      </w:r>
    </w:p>
    <w:p>
      <w:pPr>
        <w:pStyle w:val="Heading3"/>
      </w:pPr>
      <w:bookmarkStart w:id="126" w:name="_EN-US_TOPIC_0000002571413681-chtext"/>
      <w:bookmarkStart w:id="127" w:name="_Toc256000045"/>
      <w:r>
        <w:t>Right Side Wall</w:t>
      </w:r>
      <w:bookmarkEnd w:id="127"/>
      <w:bookmarkEnd w:id="126"/>
    </w:p>
    <w:p>
      <w:r>
        <w:t>Principally, the right side wall in a telepresence conference room must be soundproof and be able to absorb high-frequencies of sound. If there is a window in the right side wall, it is comprised of an existing wall, wood joist, 15 mm (0.59 in.) blockboard, 30 mm (1.18 in.) sound absorbing sponge, flame-retardant fabric, and acoustic curtain with high shading rate. All materials must be of the fire protection level B1 and environmental protection level E1.</w:t>
      </w:r>
    </w:p>
    <w:p>
      <w:pPr>
        <w:pStyle w:val="Heading3"/>
      </w:pPr>
      <w:bookmarkStart w:id="128" w:name="_EN-US_TOPIC_0000002571533639-chtext"/>
      <w:bookmarkStart w:id="129" w:name="_Toc256000046"/>
      <w:r>
        <w:t>Left Side Wall</w:t>
      </w:r>
      <w:bookmarkEnd w:id="129"/>
      <w:bookmarkEnd w:id="128"/>
    </w:p>
    <w:p>
      <w:r>
        <w:t>The entrance door must be installed in a side wall, near the devices. Principally, the door cannot be installed in the background wall or captured by the camera.</w:t>
      </w:r>
    </w:p>
    <w:p>
      <w:r>
        <w:t xml:space="preserve">You do not need to change the door if it is a solid wood door and meets the sound insulation requirement for doors specified in </w:t>
      </w:r>
      <w:r>
        <w:rPr>
          <w:i/>
        </w:rPr>
        <w:t>Evaluation Standard for Green Building</w:t>
      </w:r>
      <w:r>
        <w:t>, that is, not less than 45 dB.</w:t>
      </w:r>
    </w:p>
    <w:p>
      <w:r>
        <w:t xml:space="preserve">Use 1000 mm (39.37 in.) single-swing wooden door or 1400 mm (55.11 in.) double-swing wooden door as the entrance door. Glass doors are prohibited. Door frames must be sealed for sound insulation, and the sound insulation capability must conform to the requirement specified in </w:t>
      </w:r>
      <w:r>
        <w:rPr>
          <w:i/>
        </w:rPr>
        <w:t>Evaluation Standard for Green Building</w:t>
      </w:r>
      <w:r>
        <w:t>, that is, not less than 45 dB.</w:t>
      </w:r>
    </w:p>
    <w:p>
      <w:r>
        <w:t>The side walls provides sound absorption and insulation functions. The left side wall is comprised of an existing wall, wood joist, 15 mm (0.59 in.) blockboard, 30 mm (1.18 in.) sound absorbing sponge and flame-retardant fabric. All materials must be of the fire protection level B1 and environmental protection level E1. Install double light switches on the right side wall of the entrance.</w:t>
      </w:r>
    </w:p>
    <w:p>
      <w:pPr>
        <w:pStyle w:val="Heading3"/>
      </w:pPr>
      <w:bookmarkStart w:id="130" w:name="_EN-US_TOPIC_0000002540893700-chtext"/>
      <w:bookmarkStart w:id="131" w:name="_Toc256000047"/>
      <w:r>
        <w:t>Floor</w:t>
      </w:r>
      <w:bookmarkEnd w:id="131"/>
      <w:bookmarkEnd w:id="130"/>
    </w:p>
    <w:p>
      <w:r>
        <w:t>The color of the carpet must be the same as that of the wall. The carpet must meet the following requirements: environmentally friendly, electrostatic discharge preventive, pile height (thickness) of 6 mm (0.24 in.), and density of 700–1000 g/m². All materials must be of the fire protection level B1 and environmental protection level E1.</w:t>
      </w:r>
    </w:p>
    <w:bookmarkStart w:id="132" w:name="_EN-US_TOPIC_0000002540893354"/>
    <w:bookmarkEnd w:id="132"/>
    <w:p>
      <w:pPr>
        <w:pStyle w:val="Heading2"/>
      </w:pPr>
      <w:bookmarkStart w:id="133" w:name="_EN-US_TOPIC_0000002540893354-chtext"/>
      <w:bookmarkStart w:id="134" w:name="_Toc256000048"/>
      <w:r>
        <w:t>Effect Pictures</w:t>
      </w:r>
      <w:bookmarkEnd w:id="134"/>
      <w:bookmarkEnd w:id="133"/>
    </w:p>
    <w:p>
      <w:pPr>
        <w:pStyle w:val="Heading3"/>
        <w:numPr>
          <w:numId w:val="96"/>
        </w:numPr>
      </w:pPr>
      <w:bookmarkStart w:id="135" w:name="_EN-US_TOPIC_0000002571413685-chtext"/>
      <w:bookmarkStart w:id="136" w:name="_Toc256000049"/>
      <w:r>
        <w:t>Single-Row Telepresence Room Effect Drawing</w:t>
      </w:r>
      <w:bookmarkEnd w:id="136"/>
      <w:bookmarkEnd w:id="135"/>
    </w:p>
    <w:p>
      <w:pPr>
        <w:pStyle w:val="FigureDescription"/>
      </w:pPr>
      <w:r>
        <w:t>Reference effect drawing 1</w:t>
      </w:r>
    </w:p>
    <w:p>
      <w:pPr>
        <w:pStyle w:val="Figure"/>
      </w:pPr>
      <w:r>
        <w:pict>
          <v:shape id="_x0000_i1069" type="#_x0000_t75" style="width:393.75pt;height:203.47pt">
            <v:imagedata r:id="rId58" o:title=""/>
          </v:shape>
        </w:pict>
      </w:r>
    </w:p>
    <w:p/>
    <w:p>
      <w:pPr>
        <w:pStyle w:val="FigureDescription"/>
      </w:pPr>
      <w:r>
        <w:t>Reference effect drawing 2</w:t>
      </w:r>
    </w:p>
    <w:p>
      <w:pPr>
        <w:pStyle w:val="Figure"/>
      </w:pPr>
      <w:r>
        <w:pict>
          <v:shape id="_x0000_i1070" type="#_x0000_t75" style="width:393.75pt;height:246.19pt">
            <v:imagedata r:id="rId59" o:title=""/>
          </v:shape>
        </w:pict>
      </w:r>
    </w:p>
    <w:p/>
    <w:p>
      <w:pPr>
        <w:pStyle w:val="FigureDescription"/>
      </w:pPr>
      <w:r>
        <w:t>Reference effect drawing 3</w:t>
      </w:r>
    </w:p>
    <w:p>
      <w:pPr>
        <w:pStyle w:val="Figure"/>
      </w:pPr>
      <w:r>
        <w:pict>
          <v:shape id="_x0000_i1071" type="#_x0000_t75" style="width:393.75pt;height:275.62pt">
            <v:imagedata r:id="rId60" o:title=""/>
          </v:shape>
        </w:pict>
      </w:r>
    </w:p>
    <w:p/>
    <w:p>
      <w:pPr>
        <w:pStyle w:val="Heading3"/>
      </w:pPr>
      <w:bookmarkStart w:id="137" w:name="_EN-US_TOPIC_0000002571413683-chtext"/>
      <w:bookmarkStart w:id="138" w:name="_Toc256000050"/>
      <w:r>
        <w:t>Dual-Row Telepresence Room Effect Drawing</w:t>
      </w:r>
      <w:bookmarkEnd w:id="138"/>
      <w:bookmarkEnd w:id="137"/>
    </w:p>
    <w:p>
      <w:pPr>
        <w:pStyle w:val="FigureDescription"/>
      </w:pPr>
      <w:r>
        <w:t>Reference effect drawing 1</w:t>
      </w:r>
    </w:p>
    <w:p>
      <w:pPr>
        <w:pStyle w:val="Figure"/>
      </w:pPr>
      <w:r>
        <w:pict>
          <v:shape id="_x0000_i1072" type="#_x0000_t75" style="width:393.75pt;height:203.47pt">
            <v:imagedata r:id="rId61" o:title=""/>
          </v:shape>
        </w:pict>
      </w:r>
    </w:p>
    <w:p/>
    <w:p>
      <w:pPr>
        <w:pStyle w:val="FigureDescription"/>
      </w:pPr>
      <w:r>
        <w:t>Reference effect drawing 2</w:t>
      </w:r>
    </w:p>
    <w:p>
      <w:pPr>
        <w:pStyle w:val="Figure"/>
      </w:pPr>
      <w:r>
        <w:pict>
          <v:shape id="_x0000_i1073" type="#_x0000_t75" style="width:393.75pt;height:246.19pt">
            <v:imagedata r:id="rId62" o:title=""/>
          </v:shape>
        </w:pict>
      </w:r>
    </w:p>
    <w:p/>
    <w:p>
      <w:pPr>
        <w:pStyle w:val="FigureDescription"/>
      </w:pPr>
      <w:r>
        <w:t>Reference effect drawing 3</w:t>
      </w:r>
    </w:p>
    <w:p>
      <w:pPr>
        <w:pStyle w:val="Figure"/>
      </w:pPr>
      <w:r>
        <w:pict>
          <v:shape id="_x0000_i1074" type="#_x0000_t75" style="width:393.75pt;height:275.62pt">
            <v:imagedata r:id="rId63" o:title=""/>
          </v:shape>
        </w:pict>
      </w:r>
    </w:p>
    <w:p>
      <w:pPr>
        <w:sectPr>
          <w:headerReference w:type="even" r:id="rId64"/>
          <w:headerReference w:type="default" r:id="rId65"/>
          <w:footerReference w:type="even" r:id="rId66"/>
          <w:footerReference w:type="default" r:id="rId67"/>
          <w:type w:val="oddPage"/>
          <w:pgSz w:w="11907" w:h="16840" w:code="9"/>
          <w:pgMar w:top="1701" w:right="1134" w:bottom="1701" w:left="1134" w:header="567" w:footer="567" w:gutter="0"/>
          <w:pgNumType w:start="1" w:chapStyle="1"/>
          <w:cols w:space="425"/>
          <w:docGrid w:linePitch="312"/>
        </w:sectPr>
      </w:pPr>
    </w:p>
    <w:bookmarkStart w:id="139" w:name="_EN-US_TOPIC_0000002540893356"/>
    <w:bookmarkEnd w:id="139"/>
    <w:p>
      <w:pPr>
        <w:pStyle w:val="Heading1"/>
      </w:pPr>
      <w:bookmarkStart w:id="140" w:name="_EN-US_TOPIC_0000002540893356-chtext"/>
      <w:bookmarkStart w:id="141" w:name="_Toc256000051"/>
      <w:r>
        <w:t>Appendix</w:t>
      </w:r>
      <w:bookmarkEnd w:id="141"/>
      <w:bookmarkEnd w:id="140"/>
    </w:p>
    <w:bookmarkStart w:id="142" w:name="_EN-US_TOPIC_0000002571533637"/>
    <w:bookmarkEnd w:id="142"/>
    <w:p>
      <w:pPr>
        <w:pStyle w:val="Heading2"/>
        <w:numPr>
          <w:numId w:val="99"/>
        </w:numPr>
      </w:pPr>
      <w:bookmarkStart w:id="143" w:name="_EN-US_TOPIC_0000002571533637-chtext"/>
      <w:bookmarkStart w:id="144" w:name="_Toc256000052"/>
      <w:r>
        <w:t>Appendix 1</w:t>
      </w:r>
      <w:bookmarkEnd w:id="144"/>
      <w:bookmarkEnd w:id="143"/>
    </w:p>
    <w:p>
      <w:pPr>
        <w:pStyle w:val="TableDescription"/>
      </w:pPr>
      <w:r>
        <w:t>Decoration design standards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646"/>
        <w:gridCol w:w="2893"/>
        <w:gridCol w:w="239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rPr>
                <w:b/>
              </w:rPr>
              <w:t>No.</w:t>
            </w:r>
          </w:p>
        </w:tc>
        <w:tc>
          <w:tcPr>
            <w:tcW w:w="1822" w:type="pct"/>
            <w:tcBorders>
              <w:top w:val="single" w:sz="6" w:space="0" w:color="000000"/>
              <w:bottom w:val="single" w:sz="6" w:space="0" w:color="000000"/>
              <w:right w:val="single" w:sz="6" w:space="0" w:color="000000"/>
            </w:tcBorders>
          </w:tcPr>
          <w:p>
            <w:pPr>
              <w:pStyle w:val="TableText"/>
            </w:pPr>
            <w:r>
              <w:rPr>
                <w:b/>
              </w:rPr>
              <w:t>Name</w:t>
            </w:r>
          </w:p>
        </w:tc>
        <w:tc>
          <w:tcPr>
            <w:tcW w:w="1511" w:type="pct"/>
            <w:tcBorders>
              <w:top w:val="single" w:sz="6" w:space="0" w:color="000000"/>
              <w:bottom w:val="single" w:sz="6" w:space="0" w:color="000000"/>
            </w:tcBorders>
          </w:tcPr>
          <w:p>
            <w:pPr>
              <w:pStyle w:val="TableText"/>
            </w:pPr>
            <w:r>
              <w:rPr>
                <w:b/>
              </w:rPr>
              <w:t>Standard No.</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1</w:t>
            </w:r>
          </w:p>
        </w:tc>
        <w:tc>
          <w:tcPr>
            <w:tcW w:w="1822" w:type="pct"/>
            <w:tcBorders>
              <w:top w:val="single" w:sz="6" w:space="0" w:color="000000"/>
              <w:bottom w:val="single" w:sz="6" w:space="0" w:color="000000"/>
              <w:right w:val="single" w:sz="6" w:space="0" w:color="000000"/>
            </w:tcBorders>
          </w:tcPr>
          <w:p>
            <w:pPr>
              <w:pStyle w:val="TableText"/>
            </w:pPr>
            <w:r>
              <w:t>Code for Construction Project Management</w:t>
            </w:r>
          </w:p>
        </w:tc>
        <w:tc>
          <w:tcPr>
            <w:tcW w:w="1511" w:type="pct"/>
            <w:tcBorders>
              <w:top w:val="single" w:sz="6" w:space="0" w:color="000000"/>
              <w:bottom w:val="single" w:sz="6" w:space="0" w:color="000000"/>
            </w:tcBorders>
          </w:tcPr>
          <w:p>
            <w:pPr>
              <w:pStyle w:val="TableText"/>
            </w:pPr>
            <w:r>
              <w:t>GB/T50326-2017</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2</w:t>
            </w:r>
          </w:p>
        </w:tc>
        <w:tc>
          <w:tcPr>
            <w:tcW w:w="1822" w:type="pct"/>
            <w:tcBorders>
              <w:top w:val="single" w:sz="6" w:space="0" w:color="000000"/>
              <w:bottom w:val="single" w:sz="6" w:space="0" w:color="000000"/>
              <w:right w:val="single" w:sz="6" w:space="0" w:color="000000"/>
            </w:tcBorders>
          </w:tcPr>
          <w:p>
            <w:pPr>
              <w:pStyle w:val="TableText"/>
            </w:pPr>
            <w:r>
              <w:t>Code for Management of Engineering Contracting Projects</w:t>
            </w:r>
          </w:p>
        </w:tc>
        <w:tc>
          <w:tcPr>
            <w:tcW w:w="1511" w:type="pct"/>
            <w:tcBorders>
              <w:top w:val="single" w:sz="6" w:space="0" w:color="000000"/>
              <w:bottom w:val="single" w:sz="6" w:space="0" w:color="000000"/>
            </w:tcBorders>
          </w:tcPr>
          <w:p>
            <w:pPr>
              <w:pStyle w:val="TableText"/>
            </w:pPr>
            <w:r>
              <w:t>GB/T50358-2005</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3</w:t>
            </w:r>
          </w:p>
        </w:tc>
        <w:tc>
          <w:tcPr>
            <w:tcW w:w="1822" w:type="pct"/>
            <w:tcBorders>
              <w:top w:val="single" w:sz="6" w:space="0" w:color="000000"/>
              <w:bottom w:val="single" w:sz="6" w:space="0" w:color="000000"/>
              <w:right w:val="single" w:sz="6" w:space="0" w:color="000000"/>
            </w:tcBorders>
          </w:tcPr>
          <w:p>
            <w:pPr>
              <w:pStyle w:val="TableText"/>
            </w:pPr>
            <w:r>
              <w:t>Unified Standard for Constructional Quality Acceptance of Building Engineering</w:t>
            </w:r>
          </w:p>
        </w:tc>
        <w:tc>
          <w:tcPr>
            <w:tcW w:w="1511" w:type="pct"/>
            <w:tcBorders>
              <w:top w:val="single" w:sz="6" w:space="0" w:color="000000"/>
              <w:bottom w:val="single" w:sz="6" w:space="0" w:color="000000"/>
            </w:tcBorders>
          </w:tcPr>
          <w:p>
            <w:pPr>
              <w:pStyle w:val="TableText"/>
            </w:pPr>
            <w:r>
              <w:t>GB 50300-2013</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4</w:t>
            </w:r>
          </w:p>
        </w:tc>
        <w:tc>
          <w:tcPr>
            <w:tcW w:w="1822" w:type="pct"/>
            <w:tcBorders>
              <w:top w:val="single" w:sz="6" w:space="0" w:color="000000"/>
              <w:bottom w:val="single" w:sz="6" w:space="0" w:color="000000"/>
              <w:right w:val="single" w:sz="6" w:space="0" w:color="000000"/>
            </w:tcBorders>
          </w:tcPr>
          <w:p>
            <w:pPr>
              <w:pStyle w:val="TableText"/>
            </w:pPr>
            <w:r>
              <w:t>Code for Construction Quality Acceptance of Building Decoration</w:t>
            </w:r>
          </w:p>
        </w:tc>
        <w:tc>
          <w:tcPr>
            <w:tcW w:w="1511" w:type="pct"/>
            <w:tcBorders>
              <w:top w:val="single" w:sz="6" w:space="0" w:color="000000"/>
              <w:bottom w:val="single" w:sz="6" w:space="0" w:color="000000"/>
            </w:tcBorders>
          </w:tcPr>
          <w:p>
            <w:pPr>
              <w:pStyle w:val="TableText"/>
            </w:pPr>
            <w:r>
              <w:t>GB 50210-2018</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5</w:t>
            </w:r>
          </w:p>
        </w:tc>
        <w:tc>
          <w:tcPr>
            <w:tcW w:w="1822" w:type="pct"/>
            <w:tcBorders>
              <w:top w:val="single" w:sz="6" w:space="0" w:color="000000"/>
              <w:bottom w:val="single" w:sz="6" w:space="0" w:color="000000"/>
              <w:right w:val="single" w:sz="6" w:space="0" w:color="000000"/>
            </w:tcBorders>
          </w:tcPr>
          <w:p>
            <w:pPr>
              <w:pStyle w:val="TableText"/>
            </w:pPr>
            <w:r>
              <w:t>Code for Construction Quality Acceptance of Building Decoration</w:t>
            </w:r>
          </w:p>
        </w:tc>
        <w:tc>
          <w:tcPr>
            <w:tcW w:w="1511" w:type="pct"/>
            <w:tcBorders>
              <w:top w:val="single" w:sz="6" w:space="0" w:color="000000"/>
              <w:bottom w:val="single" w:sz="6" w:space="0" w:color="000000"/>
            </w:tcBorders>
          </w:tcPr>
          <w:p>
            <w:pPr>
              <w:pStyle w:val="TableText"/>
            </w:pPr>
            <w:r>
              <w:t>GB 50210-2018</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6</w:t>
            </w:r>
          </w:p>
        </w:tc>
        <w:tc>
          <w:tcPr>
            <w:tcW w:w="1822" w:type="pct"/>
            <w:tcBorders>
              <w:top w:val="single" w:sz="6" w:space="0" w:color="000000"/>
              <w:bottom w:val="single" w:sz="6" w:space="0" w:color="000000"/>
              <w:right w:val="single" w:sz="6" w:space="0" w:color="000000"/>
            </w:tcBorders>
          </w:tcPr>
          <w:p>
            <w:pPr>
              <w:pStyle w:val="TableText"/>
            </w:pPr>
            <w:r>
              <w:t>Code for Construction and Acceptance of Building Ground Engineering</w:t>
            </w:r>
          </w:p>
        </w:tc>
        <w:tc>
          <w:tcPr>
            <w:tcW w:w="1511" w:type="pct"/>
            <w:tcBorders>
              <w:top w:val="single" w:sz="6" w:space="0" w:color="000000"/>
              <w:bottom w:val="single" w:sz="6" w:space="0" w:color="000000"/>
            </w:tcBorders>
          </w:tcPr>
          <w:p>
            <w:pPr>
              <w:pStyle w:val="TableText"/>
            </w:pPr>
            <w:r>
              <w:t>GB 50209-2008</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7</w:t>
            </w:r>
          </w:p>
        </w:tc>
        <w:tc>
          <w:tcPr>
            <w:tcW w:w="1822" w:type="pct"/>
            <w:tcBorders>
              <w:top w:val="single" w:sz="6" w:space="0" w:color="000000"/>
              <w:bottom w:val="single" w:sz="6" w:space="0" w:color="000000"/>
              <w:right w:val="single" w:sz="6" w:space="0" w:color="000000"/>
            </w:tcBorders>
          </w:tcPr>
          <w:p>
            <w:pPr>
              <w:pStyle w:val="TableText"/>
            </w:pPr>
            <w:r>
              <w:t>Code for Indoor Environmental Pollution Control of Civil Building Engineering</w:t>
            </w:r>
          </w:p>
        </w:tc>
        <w:tc>
          <w:tcPr>
            <w:tcW w:w="1511" w:type="pct"/>
            <w:tcBorders>
              <w:top w:val="single" w:sz="6" w:space="0" w:color="000000"/>
              <w:bottom w:val="single" w:sz="6" w:space="0" w:color="000000"/>
            </w:tcBorders>
          </w:tcPr>
          <w:p>
            <w:pPr>
              <w:pStyle w:val="TableText"/>
            </w:pPr>
            <w:r>
              <w:t>GB 50325-2010</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8</w:t>
            </w:r>
          </w:p>
        </w:tc>
        <w:tc>
          <w:tcPr>
            <w:tcW w:w="1822" w:type="pct"/>
            <w:tcBorders>
              <w:top w:val="single" w:sz="6" w:space="0" w:color="000000"/>
              <w:bottom w:val="single" w:sz="6" w:space="0" w:color="000000"/>
              <w:right w:val="single" w:sz="6" w:space="0" w:color="000000"/>
            </w:tcBorders>
          </w:tcPr>
          <w:p>
            <w:pPr>
              <w:pStyle w:val="TableText"/>
            </w:pPr>
            <w:r>
              <w:t>Code for Indoor Environmental Pollution Control of Civil Building Engineering</w:t>
            </w:r>
          </w:p>
        </w:tc>
        <w:tc>
          <w:tcPr>
            <w:tcW w:w="1511" w:type="pct"/>
            <w:tcBorders>
              <w:top w:val="single" w:sz="6" w:space="0" w:color="000000"/>
              <w:bottom w:val="single" w:sz="6" w:space="0" w:color="000000"/>
            </w:tcBorders>
          </w:tcPr>
          <w:p>
            <w:pPr>
              <w:pStyle w:val="TableText"/>
            </w:pPr>
            <w:r>
              <w:t>GB 50325-2010</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9</w:t>
            </w:r>
          </w:p>
        </w:tc>
        <w:tc>
          <w:tcPr>
            <w:tcW w:w="1822" w:type="pct"/>
            <w:tcBorders>
              <w:top w:val="single" w:sz="6" w:space="0" w:color="000000"/>
              <w:bottom w:val="single" w:sz="6" w:space="0" w:color="000000"/>
              <w:right w:val="single" w:sz="6" w:space="0" w:color="000000"/>
            </w:tcBorders>
          </w:tcPr>
          <w:p>
            <w:pPr>
              <w:pStyle w:val="TableText"/>
            </w:pPr>
            <w:r>
              <w:t>Indoor Decorating and Refurbishing Materials–Limit of Formaldehyde Emission of Wood-Based Panels and Finishing Products</w:t>
            </w:r>
          </w:p>
        </w:tc>
        <w:tc>
          <w:tcPr>
            <w:tcW w:w="1511" w:type="pct"/>
            <w:tcBorders>
              <w:top w:val="single" w:sz="6" w:space="0" w:color="000000"/>
              <w:bottom w:val="single" w:sz="6" w:space="0" w:color="000000"/>
            </w:tcBorders>
          </w:tcPr>
          <w:p>
            <w:pPr>
              <w:pStyle w:val="TableText"/>
            </w:pPr>
            <w:r>
              <w:t>GB 18580-2017</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10</w:t>
            </w:r>
          </w:p>
        </w:tc>
        <w:tc>
          <w:tcPr>
            <w:tcW w:w="1822" w:type="pct"/>
            <w:tcBorders>
              <w:top w:val="single" w:sz="6" w:space="0" w:color="000000"/>
              <w:bottom w:val="single" w:sz="6" w:space="0" w:color="000000"/>
              <w:right w:val="single" w:sz="6" w:space="0" w:color="000000"/>
            </w:tcBorders>
          </w:tcPr>
          <w:p>
            <w:pPr>
              <w:pStyle w:val="TableText"/>
            </w:pPr>
            <w:r>
              <w:t>Indoor Decorating and Refurbishing Materials–Limit of Harmful Substances of Solvent-Based Coatings for Woodenware</w:t>
            </w:r>
          </w:p>
        </w:tc>
        <w:tc>
          <w:tcPr>
            <w:tcW w:w="1511" w:type="pct"/>
            <w:tcBorders>
              <w:top w:val="single" w:sz="6" w:space="0" w:color="000000"/>
              <w:bottom w:val="single" w:sz="6" w:space="0" w:color="000000"/>
            </w:tcBorders>
          </w:tcPr>
          <w:p>
            <w:pPr>
              <w:pStyle w:val="TableText"/>
            </w:pPr>
            <w:r>
              <w:t>GB 18581-2009</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11</w:t>
            </w:r>
          </w:p>
        </w:tc>
        <w:tc>
          <w:tcPr>
            <w:tcW w:w="1822" w:type="pct"/>
            <w:tcBorders>
              <w:top w:val="single" w:sz="6" w:space="0" w:color="000000"/>
              <w:bottom w:val="single" w:sz="6" w:space="0" w:color="000000"/>
              <w:right w:val="single" w:sz="6" w:space="0" w:color="000000"/>
            </w:tcBorders>
          </w:tcPr>
          <w:p>
            <w:pPr>
              <w:pStyle w:val="TableText"/>
            </w:pPr>
            <w:r>
              <w:t>Indoor Decorating and Refurbishing Materials–Limit of Harmful Substances of Adhesives</w:t>
            </w:r>
          </w:p>
        </w:tc>
        <w:tc>
          <w:tcPr>
            <w:tcW w:w="1511" w:type="pct"/>
            <w:tcBorders>
              <w:top w:val="single" w:sz="6" w:space="0" w:color="000000"/>
              <w:bottom w:val="single" w:sz="6" w:space="0" w:color="000000"/>
            </w:tcBorders>
          </w:tcPr>
          <w:p>
            <w:pPr>
              <w:pStyle w:val="TableText"/>
            </w:pPr>
            <w:r>
              <w:t>GB 18583-2001</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12</w:t>
            </w:r>
          </w:p>
        </w:tc>
        <w:tc>
          <w:tcPr>
            <w:tcW w:w="1822" w:type="pct"/>
            <w:tcBorders>
              <w:top w:val="single" w:sz="6" w:space="0" w:color="000000"/>
              <w:bottom w:val="single" w:sz="6" w:space="0" w:color="000000"/>
              <w:right w:val="single" w:sz="6" w:space="0" w:color="000000"/>
            </w:tcBorders>
          </w:tcPr>
          <w:p>
            <w:pPr>
              <w:pStyle w:val="TableText"/>
            </w:pPr>
            <w:r>
              <w:t>Indoor Decorating and Refurbishing of Materials–Limit of Harmful Substances of Wood-Based Furniture</w:t>
            </w:r>
          </w:p>
        </w:tc>
        <w:tc>
          <w:tcPr>
            <w:tcW w:w="1511" w:type="pct"/>
            <w:tcBorders>
              <w:top w:val="single" w:sz="6" w:space="0" w:color="000000"/>
              <w:bottom w:val="single" w:sz="6" w:space="0" w:color="000000"/>
            </w:tcBorders>
          </w:tcPr>
          <w:p>
            <w:pPr>
              <w:pStyle w:val="TableText"/>
            </w:pPr>
            <w:r>
              <w:t>GB 18584-2001</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13</w:t>
            </w:r>
          </w:p>
        </w:tc>
        <w:tc>
          <w:tcPr>
            <w:tcW w:w="1822" w:type="pct"/>
            <w:tcBorders>
              <w:top w:val="single" w:sz="6" w:space="0" w:color="000000"/>
              <w:bottom w:val="single" w:sz="6" w:space="0" w:color="000000"/>
              <w:right w:val="single" w:sz="6" w:space="0" w:color="000000"/>
            </w:tcBorders>
          </w:tcPr>
          <w:p>
            <w:pPr>
              <w:pStyle w:val="TableText"/>
            </w:pPr>
            <w:r>
              <w:t>Indoor Decorating and Refurbishing Materials–Limitations of Harmful Substances Emitted from Carpets, Carpet Cushions and Adhesives</w:t>
            </w:r>
          </w:p>
        </w:tc>
        <w:tc>
          <w:tcPr>
            <w:tcW w:w="1511" w:type="pct"/>
            <w:tcBorders>
              <w:top w:val="single" w:sz="6" w:space="0" w:color="000000"/>
              <w:bottom w:val="single" w:sz="6" w:space="0" w:color="000000"/>
            </w:tcBorders>
          </w:tcPr>
          <w:p>
            <w:pPr>
              <w:pStyle w:val="TableText"/>
            </w:pPr>
            <w:r>
              <w:t>GB 18587-2001</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14</w:t>
            </w:r>
          </w:p>
        </w:tc>
        <w:tc>
          <w:tcPr>
            <w:tcW w:w="1822" w:type="pct"/>
            <w:tcBorders>
              <w:top w:val="single" w:sz="6" w:space="0" w:color="000000"/>
              <w:bottom w:val="single" w:sz="6" w:space="0" w:color="000000"/>
              <w:right w:val="single" w:sz="6" w:space="0" w:color="000000"/>
            </w:tcBorders>
          </w:tcPr>
          <w:p>
            <w:pPr>
              <w:pStyle w:val="TableText"/>
            </w:pPr>
            <w:r>
              <w:t>Limit of Radionuclides in Building Materials</w:t>
            </w:r>
          </w:p>
        </w:tc>
        <w:tc>
          <w:tcPr>
            <w:tcW w:w="1511" w:type="pct"/>
            <w:tcBorders>
              <w:top w:val="single" w:sz="6" w:space="0" w:color="000000"/>
              <w:bottom w:val="single" w:sz="6" w:space="0" w:color="000000"/>
            </w:tcBorders>
          </w:tcPr>
          <w:p>
            <w:pPr>
              <w:pStyle w:val="TableText"/>
            </w:pPr>
            <w:r>
              <w:t>GB 6566-2010</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15</w:t>
            </w:r>
          </w:p>
        </w:tc>
        <w:tc>
          <w:tcPr>
            <w:tcW w:w="1822" w:type="pct"/>
            <w:tcBorders>
              <w:top w:val="single" w:sz="6" w:space="0" w:color="000000"/>
              <w:bottom w:val="single" w:sz="6" w:space="0" w:color="000000"/>
              <w:right w:val="single" w:sz="6" w:space="0" w:color="000000"/>
            </w:tcBorders>
          </w:tcPr>
          <w:p>
            <w:pPr>
              <w:pStyle w:val="TableText"/>
            </w:pPr>
            <w:r>
              <w:t>Standard of Construction Safety Inspection</w:t>
            </w:r>
          </w:p>
        </w:tc>
        <w:tc>
          <w:tcPr>
            <w:tcW w:w="1511" w:type="pct"/>
            <w:tcBorders>
              <w:top w:val="single" w:sz="6" w:space="0" w:color="000000"/>
              <w:bottom w:val="single" w:sz="6" w:space="0" w:color="000000"/>
            </w:tcBorders>
          </w:tcPr>
          <w:p>
            <w:pPr>
              <w:pStyle w:val="TableText"/>
            </w:pPr>
            <w:r>
              <w:t>JGJ 59-2011</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16</w:t>
            </w:r>
          </w:p>
        </w:tc>
        <w:tc>
          <w:tcPr>
            <w:tcW w:w="1822" w:type="pct"/>
            <w:tcBorders>
              <w:top w:val="single" w:sz="6" w:space="0" w:color="000000"/>
              <w:bottom w:val="single" w:sz="6" w:space="0" w:color="000000"/>
              <w:right w:val="single" w:sz="6" w:space="0" w:color="000000"/>
            </w:tcBorders>
          </w:tcPr>
          <w:p>
            <w:pPr>
              <w:pStyle w:val="TableText"/>
            </w:pPr>
            <w:r>
              <w:t>Standard of the Work Safety Assessment for Construction Company</w:t>
            </w:r>
          </w:p>
        </w:tc>
        <w:tc>
          <w:tcPr>
            <w:tcW w:w="1511" w:type="pct"/>
            <w:tcBorders>
              <w:top w:val="single" w:sz="6" w:space="0" w:color="000000"/>
              <w:bottom w:val="single" w:sz="6" w:space="0" w:color="000000"/>
            </w:tcBorders>
          </w:tcPr>
          <w:p>
            <w:pPr>
              <w:pStyle w:val="TableText"/>
            </w:pPr>
            <w:r>
              <w:t>JGJ/T77-2010, J278-2010</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17</w:t>
            </w:r>
          </w:p>
        </w:tc>
        <w:tc>
          <w:tcPr>
            <w:tcW w:w="1822" w:type="pct"/>
            <w:tcBorders>
              <w:top w:val="single" w:sz="6" w:space="0" w:color="000000"/>
              <w:bottom w:val="single" w:sz="6" w:space="0" w:color="000000"/>
              <w:right w:val="single" w:sz="6" w:space="0" w:color="000000"/>
            </w:tcBorders>
          </w:tcPr>
          <w:p>
            <w:pPr>
              <w:pStyle w:val="TableText"/>
            </w:pPr>
            <w:r>
              <w:t>Code for Fire Prevention Installation and Acceptance in Construction of Interior Decoration Engineering of Buildings</w:t>
            </w:r>
          </w:p>
        </w:tc>
        <w:tc>
          <w:tcPr>
            <w:tcW w:w="1511" w:type="pct"/>
            <w:tcBorders>
              <w:top w:val="single" w:sz="6" w:space="0" w:color="000000"/>
              <w:bottom w:val="single" w:sz="6" w:space="0" w:color="000000"/>
            </w:tcBorders>
          </w:tcPr>
          <w:p>
            <w:pPr>
              <w:pStyle w:val="TableText"/>
            </w:pPr>
            <w:r>
              <w:t>GB50354-2005</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18</w:t>
            </w:r>
          </w:p>
        </w:tc>
        <w:tc>
          <w:tcPr>
            <w:tcW w:w="1822" w:type="pct"/>
            <w:tcBorders>
              <w:top w:val="single" w:sz="6" w:space="0" w:color="000000"/>
              <w:bottom w:val="single" w:sz="6" w:space="0" w:color="000000"/>
              <w:right w:val="single" w:sz="6" w:space="0" w:color="000000"/>
            </w:tcBorders>
          </w:tcPr>
          <w:p>
            <w:pPr>
              <w:pStyle w:val="TableText"/>
            </w:pPr>
            <w:r>
              <w:t>Technical Code for Safety of Temporary Electrification on Construction Site</w:t>
            </w:r>
          </w:p>
        </w:tc>
        <w:tc>
          <w:tcPr>
            <w:tcW w:w="1511" w:type="pct"/>
            <w:tcBorders>
              <w:top w:val="single" w:sz="6" w:space="0" w:color="000000"/>
              <w:bottom w:val="single" w:sz="6" w:space="0" w:color="000000"/>
            </w:tcBorders>
          </w:tcPr>
          <w:p>
            <w:pPr>
              <w:pStyle w:val="TableText"/>
            </w:pPr>
            <w:r>
              <w:t>JGJ 46-2005</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19</w:t>
            </w:r>
          </w:p>
        </w:tc>
        <w:tc>
          <w:tcPr>
            <w:tcW w:w="1822" w:type="pct"/>
            <w:tcBorders>
              <w:top w:val="single" w:sz="6" w:space="0" w:color="000000"/>
              <w:bottom w:val="single" w:sz="6" w:space="0" w:color="000000"/>
              <w:right w:val="single" w:sz="6" w:space="0" w:color="000000"/>
            </w:tcBorders>
          </w:tcPr>
          <w:p>
            <w:pPr>
              <w:pStyle w:val="TableText"/>
            </w:pPr>
            <w:r>
              <w:t>Technical Specification for Safety Operation of Construction Machinery</w:t>
            </w:r>
          </w:p>
        </w:tc>
        <w:tc>
          <w:tcPr>
            <w:tcW w:w="1511" w:type="pct"/>
            <w:tcBorders>
              <w:top w:val="single" w:sz="6" w:space="0" w:color="000000"/>
              <w:bottom w:val="single" w:sz="6" w:space="0" w:color="000000"/>
            </w:tcBorders>
          </w:tcPr>
          <w:p>
            <w:pPr>
              <w:pStyle w:val="TableText"/>
            </w:pPr>
            <w:r>
              <w:t>JGJ 33-2009</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20</w:t>
            </w:r>
          </w:p>
        </w:tc>
        <w:tc>
          <w:tcPr>
            <w:tcW w:w="1822" w:type="pct"/>
            <w:tcBorders>
              <w:top w:val="single" w:sz="6" w:space="0" w:color="000000"/>
              <w:bottom w:val="single" w:sz="6" w:space="0" w:color="000000"/>
              <w:right w:val="single" w:sz="6" w:space="0" w:color="000000"/>
            </w:tcBorders>
          </w:tcPr>
          <w:p>
            <w:pPr>
              <w:pStyle w:val="TableText"/>
            </w:pPr>
            <w:r>
              <w:t>Standard of Environment and Sanitation of Construction Site</w:t>
            </w:r>
          </w:p>
        </w:tc>
        <w:tc>
          <w:tcPr>
            <w:tcW w:w="1511" w:type="pct"/>
            <w:tcBorders>
              <w:top w:val="single" w:sz="6" w:space="0" w:color="000000"/>
              <w:bottom w:val="single" w:sz="6" w:space="0" w:color="000000"/>
            </w:tcBorders>
          </w:tcPr>
          <w:p>
            <w:pPr>
              <w:pStyle w:val="TableText"/>
            </w:pPr>
            <w:r>
              <w:t>JGJ146-2014</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21</w:t>
            </w:r>
          </w:p>
        </w:tc>
        <w:tc>
          <w:tcPr>
            <w:tcW w:w="1822" w:type="pct"/>
            <w:tcBorders>
              <w:top w:val="single" w:sz="6" w:space="0" w:color="000000"/>
              <w:bottom w:val="single" w:sz="6" w:space="0" w:color="000000"/>
              <w:right w:val="single" w:sz="6" w:space="0" w:color="000000"/>
            </w:tcBorders>
          </w:tcPr>
          <w:p>
            <w:pPr>
              <w:pStyle w:val="TableText"/>
            </w:pPr>
            <w:r>
              <w:t>Standard for Architectural Drawings</w:t>
            </w:r>
          </w:p>
        </w:tc>
        <w:tc>
          <w:tcPr>
            <w:tcW w:w="1511" w:type="pct"/>
            <w:tcBorders>
              <w:top w:val="single" w:sz="6" w:space="0" w:color="000000"/>
              <w:bottom w:val="single" w:sz="6" w:space="0" w:color="000000"/>
            </w:tcBorders>
          </w:tcPr>
          <w:p>
            <w:pPr>
              <w:pStyle w:val="TableText"/>
            </w:pPr>
            <w:r>
              <w:t>GB/T50104-2010</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22</w:t>
            </w:r>
          </w:p>
        </w:tc>
        <w:tc>
          <w:tcPr>
            <w:tcW w:w="1822" w:type="pct"/>
            <w:tcBorders>
              <w:top w:val="single" w:sz="6" w:space="0" w:color="000000"/>
              <w:bottom w:val="single" w:sz="6" w:space="0" w:color="000000"/>
              <w:right w:val="single" w:sz="6" w:space="0" w:color="000000"/>
            </w:tcBorders>
          </w:tcPr>
          <w:p>
            <w:pPr>
              <w:pStyle w:val="TableText"/>
            </w:pPr>
            <w:r>
              <w:t>Inspection and Testing Specification of Construction Engineering Quality</w:t>
            </w:r>
          </w:p>
        </w:tc>
        <w:tc>
          <w:tcPr>
            <w:tcW w:w="1511" w:type="pct"/>
            <w:tcBorders>
              <w:top w:val="single" w:sz="6" w:space="0" w:color="000000"/>
              <w:bottom w:val="single" w:sz="6" w:space="0" w:color="000000"/>
            </w:tcBorders>
          </w:tcPr>
          <w:p>
            <w:pPr>
              <w:pStyle w:val="TableText"/>
            </w:pPr>
            <w:r>
              <w:t>DGJ32/J21-2009</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23</w:t>
            </w:r>
          </w:p>
        </w:tc>
        <w:tc>
          <w:tcPr>
            <w:tcW w:w="1822" w:type="pct"/>
            <w:tcBorders>
              <w:top w:val="single" w:sz="6" w:space="0" w:color="000000"/>
              <w:bottom w:val="single" w:sz="6" w:space="0" w:color="000000"/>
              <w:right w:val="single" w:sz="6" w:space="0" w:color="000000"/>
            </w:tcBorders>
          </w:tcPr>
          <w:p>
            <w:pPr>
              <w:pStyle w:val="TableText"/>
            </w:pPr>
            <w:r>
              <w:t>Code for Construction Project Document Filling and Arrangement</w:t>
            </w:r>
          </w:p>
        </w:tc>
        <w:tc>
          <w:tcPr>
            <w:tcW w:w="1511" w:type="pct"/>
            <w:tcBorders>
              <w:top w:val="single" w:sz="6" w:space="0" w:color="000000"/>
              <w:bottom w:val="single" w:sz="6" w:space="0" w:color="000000"/>
            </w:tcBorders>
          </w:tcPr>
          <w:p>
            <w:pPr>
              <w:pStyle w:val="TableText"/>
            </w:pPr>
            <w:r>
              <w:t>GB/T50328-2014</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24</w:t>
            </w:r>
          </w:p>
        </w:tc>
        <w:tc>
          <w:tcPr>
            <w:tcW w:w="1822" w:type="pct"/>
            <w:tcBorders>
              <w:top w:val="single" w:sz="6" w:space="0" w:color="000000"/>
              <w:bottom w:val="single" w:sz="6" w:space="0" w:color="000000"/>
              <w:right w:val="single" w:sz="6" w:space="0" w:color="000000"/>
            </w:tcBorders>
          </w:tcPr>
          <w:p>
            <w:pPr>
              <w:pStyle w:val="TableText"/>
            </w:pPr>
            <w:r>
              <w:t>Standard for Lighting Design of Buildings</w:t>
            </w:r>
          </w:p>
        </w:tc>
        <w:tc>
          <w:tcPr>
            <w:tcW w:w="1511" w:type="pct"/>
            <w:tcBorders>
              <w:top w:val="single" w:sz="6" w:space="0" w:color="000000"/>
              <w:bottom w:val="single" w:sz="6" w:space="0" w:color="000000"/>
            </w:tcBorders>
          </w:tcPr>
          <w:p>
            <w:pPr>
              <w:pStyle w:val="TableText"/>
            </w:pPr>
            <w:r>
              <w:t>GB50034-2013</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25</w:t>
            </w:r>
          </w:p>
        </w:tc>
        <w:tc>
          <w:tcPr>
            <w:tcW w:w="1822" w:type="pct"/>
            <w:tcBorders>
              <w:top w:val="single" w:sz="6" w:space="0" w:color="000000"/>
              <w:bottom w:val="single" w:sz="6" w:space="0" w:color="000000"/>
              <w:right w:val="single" w:sz="6" w:space="0" w:color="000000"/>
            </w:tcBorders>
          </w:tcPr>
          <w:p>
            <w:pPr>
              <w:pStyle w:val="TableText"/>
            </w:pPr>
            <w:r>
              <w:t>Test Methods for Noise of Household Utensil and That of Similar Usage</w:t>
            </w:r>
          </w:p>
        </w:tc>
        <w:tc>
          <w:tcPr>
            <w:tcW w:w="1511" w:type="pct"/>
            <w:tcBorders>
              <w:top w:val="single" w:sz="6" w:space="0" w:color="000000"/>
              <w:bottom w:val="single" w:sz="6" w:space="0" w:color="000000"/>
            </w:tcBorders>
          </w:tcPr>
          <w:p>
            <w:pPr>
              <w:pStyle w:val="TableText"/>
            </w:pPr>
            <w:r>
              <w:t>GB/T 4214.1—2017</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26</w:t>
            </w:r>
          </w:p>
        </w:tc>
        <w:tc>
          <w:tcPr>
            <w:tcW w:w="1822" w:type="pct"/>
            <w:tcBorders>
              <w:top w:val="single" w:sz="6" w:space="0" w:color="000000"/>
              <w:bottom w:val="single" w:sz="6" w:space="0" w:color="000000"/>
              <w:right w:val="single" w:sz="6" w:space="0" w:color="000000"/>
            </w:tcBorders>
          </w:tcPr>
          <w:p>
            <w:pPr>
              <w:pStyle w:val="TableText"/>
            </w:pPr>
            <w:r>
              <w:t>Design Guide for Acoustic Workplace of Low Noise and Noise Control Plan</w:t>
            </w:r>
          </w:p>
        </w:tc>
        <w:tc>
          <w:tcPr>
            <w:tcW w:w="1511" w:type="pct"/>
            <w:tcBorders>
              <w:top w:val="single" w:sz="6" w:space="0" w:color="000000"/>
              <w:bottom w:val="single" w:sz="6" w:space="0" w:color="000000"/>
            </w:tcBorders>
          </w:tcPr>
          <w:p>
            <w:pPr>
              <w:pStyle w:val="TableText"/>
            </w:pPr>
            <w:r>
              <w:t>GB/T17429.1-1999</w:t>
            </w:r>
          </w:p>
        </w:tc>
      </w:tr>
      <w:tr>
        <w:tblPrEx>
          <w:tblW w:w="7938" w:type="dxa"/>
          <w:tblInd w:w="1814" w:type="dxa"/>
          <w:tblLayout w:type="fixed"/>
          <w:tblLook w:val="01E0"/>
        </w:tblPrEx>
        <w:trPr>
          <w:cantSplit w:val="0"/>
        </w:trPr>
        <w:tc>
          <w:tcPr>
            <w:tcW w:w="1666" w:type="pct"/>
            <w:tcBorders>
              <w:top w:val="single" w:sz="6" w:space="0" w:color="000000"/>
              <w:bottom w:val="single" w:sz="6" w:space="0" w:color="000000"/>
              <w:right w:val="single" w:sz="6" w:space="0" w:color="000000"/>
            </w:tcBorders>
          </w:tcPr>
          <w:p>
            <w:pPr>
              <w:pStyle w:val="TableText"/>
            </w:pPr>
            <w:r>
              <w:t>27</w:t>
            </w:r>
          </w:p>
        </w:tc>
        <w:tc>
          <w:tcPr>
            <w:tcW w:w="1822" w:type="pct"/>
            <w:tcBorders>
              <w:top w:val="single" w:sz="6" w:space="0" w:color="000000"/>
              <w:bottom w:val="single" w:sz="6" w:space="0" w:color="000000"/>
              <w:right w:val="single" w:sz="6" w:space="0" w:color="000000"/>
            </w:tcBorders>
          </w:tcPr>
          <w:p>
            <w:pPr>
              <w:pStyle w:val="TableText"/>
            </w:pPr>
            <w:r>
              <w:t>Fireproof Specification for Interior Decoration Design</w:t>
            </w:r>
          </w:p>
        </w:tc>
        <w:tc>
          <w:tcPr>
            <w:tcW w:w="1511" w:type="pct"/>
            <w:tcBorders>
              <w:top w:val="single" w:sz="6" w:space="0" w:color="000000"/>
              <w:bottom w:val="single" w:sz="6" w:space="0" w:color="000000"/>
            </w:tcBorders>
          </w:tcPr>
          <w:p>
            <w:pPr>
              <w:pStyle w:val="TableText"/>
            </w:pPr>
            <w:r>
              <w:t>GB 50222-2017</w:t>
            </w:r>
          </w:p>
        </w:tc>
      </w:tr>
    </w:tbl>
    <w:p/>
    <w:p>
      <w:pPr>
        <w:pStyle w:val="NotesHeading"/>
        <w:rPr>
          <w:rFonts w:hint="eastAsia"/>
        </w:rPr>
      </w:pPr>
      <w:r>
        <w:rPr>
          <w:rFonts w:hint="eastAsia"/>
          <w:color w:val="339966"/>
        </w:rPr>
        <w:pict>
          <v:shape id="_x0000_i1075" type="#_x0000_t75" style="width:54.08pt;height:19pt">
            <v:imagedata r:id="rId15" o:title="note"/>
          </v:shape>
        </w:pict>
      </w:r>
    </w:p>
    <w:p>
      <w:pPr>
        <w:pStyle w:val="NotesText"/>
      </w:pPr>
      <w:r>
        <w:t>The specifications for the indoor decoration design used outside Chinese mainland must be changed based on the laws and regulations of the local country or region.</w:t>
      </w:r>
    </w:p>
    <w:sectPr>
      <w:headerReference w:type="even" r:id="rId68"/>
      <w:headerReference w:type="default" r:id="rId69"/>
      <w:footerReference w:type="even" r:id="rId70"/>
      <w:footerReference w:type="default" r:id="rId71"/>
      <w:type w:val="oddPage"/>
      <w:pgSz w:w="11907" w:h="16840" w:code="9"/>
      <w:pgMar w:top="1701" w:right="1134" w:bottom="1701" w:left="1134" w:header="567" w:footer="567" w:gutter="0"/>
      <w:pgNumType w:start="1" w:chapStyle="1"/>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
        <w:separator/>
      </w:r>
    </w:p>
    <w:p/>
    <w:p/>
    <w:p/>
    <w:p/>
  </w:endnote>
  <w:endnote w:type="continuationSeparator" w:id="1">
    <w:p>
      <w:r>
        <w:continuationSeparator/>
      </w:r>
    </w:p>
    <w:p/>
    <w:p/>
    <w:p/>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黑体">
    <w:panose1 w:val="02010600030101010101"/>
    <w:charset w:val="86"/>
    <w:family w:val="auto"/>
    <w:pitch w:val="variable"/>
    <w:sig w:usb0="00000001" w:usb1="080E0000" w:usb2="00000010" w:usb3="00000000" w:csb0="00040000" w:csb1="00000000"/>
  </w:font>
  <w:font w:name="@宋体">
    <w:panose1 w:val="02010600030101010101"/>
    <w:charset w:val="86"/>
    <w:family w:val="auto"/>
    <w:pitch w:val="variable"/>
    <w:sig w:usb0="00000003" w:usb1="080E0000" w:usb2="00000010"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712"/>
      <w:gridCol w:w="4241"/>
      <w:gridCol w:w="27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712" w:type="dxa"/>
        </w:tcPr>
        <w:p>
          <w:pPr>
            <w:pStyle w:val="HeadingLeft"/>
            <w:rPr>
              <w:rFonts w:hint="eastAsia"/>
            </w:rPr>
          </w:pPr>
          <w:r>
            <w:fldChar w:fldCharType="begin"/>
          </w:r>
          <w:r>
            <w:instrText xml:space="preserve">PAGE  </w:instrText>
          </w:r>
          <w:r>
            <w:fldChar w:fldCharType="separate"/>
          </w:r>
          <w:r>
            <w:rPr>
              <w:rFonts w:ascii="Times New Roman" w:eastAsia="宋体" w:cs="Arial"/>
              <w:kern w:val="2"/>
              <w:sz w:val="20"/>
              <w:szCs w:val="20"/>
              <w:lang w:val="en-US" w:eastAsia="zh-CN" w:bidi="ar-SA"/>
            </w:rPr>
            <w:t>ii</w:t>
          </w:r>
          <w:r>
            <w:fldChar w:fldCharType="end"/>
          </w:r>
        </w:p>
      </w:tc>
      <w:tc>
        <w:tcPr>
          <w:tcW w:w="42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Holder Proprietary and Confidential                   </w:t>
          </w:r>
          <w:r>
            <w:rPr>
              <w:rFonts w:cs="Times New Roman"/>
            </w:rPr>
            <w:t>Copyright © Copyright Holder.</w:t>
          </w:r>
          <w:r>
            <w:rPr>
              <w:rFonts w:cs="Times New Roman"/>
            </w:rPr>
            <w:fldChar w:fldCharType="end"/>
          </w:r>
        </w:p>
      </w:tc>
      <w:tc>
        <w:tcPr>
          <w:tcW w:w="2712" w:type="dxa"/>
        </w:tcPr>
        <w:p>
          <w:pPr>
            <w:pStyle w:val="HeadingRigh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2026-06-30</w:t>
          </w:r>
          <w:r>
            <w:fldChar w:fldCharType="end"/>
          </w:r>
          <w:r>
            <w:rPr>
              <w:rFonts w:hint="eastAsia"/>
            </w:rPr>
            <w:t>)</w:t>
          </w:r>
        </w:p>
      </w:tc>
    </w:tr>
  </w:tbl>
  <w:p>
    <w:pPr>
      <w:pStyle w:val="HeadingRigh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717"/>
      <w:gridCol w:w="4258"/>
      <w:gridCol w:w="27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7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2026-06-30</w:t>
          </w:r>
          <w:r>
            <w:fldChar w:fldCharType="end"/>
          </w:r>
          <w:r>
            <w:rPr>
              <w:rFonts w:hint="eastAsia"/>
            </w:rPr>
            <w:t>)</w:t>
          </w:r>
        </w:p>
      </w:tc>
      <w:tc>
        <w:tcPr>
          <w:tcW w:w="42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Holder Proprietary and Confidential                   </w:t>
          </w:r>
          <w:r>
            <w:rPr>
              <w:rFonts w:cs="Times New Roman"/>
            </w:rPr>
            <w:t>Copyright © Copyright Holder.</w:t>
          </w:r>
          <w:r>
            <w:rPr>
              <w:rFonts w:cs="Times New Roman"/>
            </w:rPr>
            <w:fldChar w:fldCharType="end"/>
          </w:r>
        </w:p>
      </w:tc>
      <w:tc>
        <w:tcPr>
          <w:tcW w:w="2718"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i</w:t>
          </w:r>
          <w:r>
            <w:fldChar w:fldCharType="end"/>
          </w:r>
        </w:p>
      </w:tc>
    </w:tr>
  </w:tbl>
  <w:p>
    <w:pPr>
      <w:pStyle w:val="HeadingRight"/>
      <w:rPr>
        <w:rFonts w:hint="eastAsia"/>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721"/>
      <w:gridCol w:w="4253"/>
      <w:gridCol w:w="272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721" w:type="dxa"/>
        </w:tcPr>
        <w:p>
          <w:pPr>
            <w:pStyle w:val="HeadingLeft"/>
            <w:rPr>
              <w:rFonts w:hint="eastAsia"/>
            </w:rPr>
          </w:pPr>
          <w:r>
            <w:fldChar w:fldCharType="begin"/>
          </w:r>
          <w:r>
            <w:instrText xml:space="preserve">PAGE  </w:instrText>
          </w:r>
          <w:r>
            <w:fldChar w:fldCharType="separate"/>
          </w:r>
          <w:r>
            <w:rPr>
              <w:noProof/>
            </w:rPr>
            <w:t>2-4</w:t>
          </w:r>
          <w:r>
            <w:fldChar w:fldCharType="end"/>
          </w:r>
        </w:p>
      </w:tc>
      <w:tc>
        <w:tcPr>
          <w:tcW w:w="4253"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Holder Proprietary and Confidential                   </w:t>
          </w:r>
          <w:r>
            <w:rPr>
              <w:rFonts w:cs="Times New Roman"/>
            </w:rPr>
            <w:t>Copyright © Copyright Holder.</w:t>
          </w:r>
          <w:r>
            <w:rPr>
              <w:rFonts w:cs="Times New Roman"/>
            </w:rPr>
            <w:fldChar w:fldCharType="end"/>
          </w:r>
        </w:p>
      </w:tc>
      <w:tc>
        <w:tcPr>
          <w:tcW w:w="2722" w:type="dxa"/>
        </w:tcPr>
        <w:p>
          <w:pPr>
            <w:pStyle w:val="HeadingRigh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2026-06-30</w:t>
          </w:r>
          <w:r>
            <w:fldChar w:fldCharType="end"/>
          </w:r>
          <w:r>
            <w:rPr>
              <w:rFonts w:hint="eastAsia"/>
            </w:rPr>
            <w:t>)</w:t>
          </w:r>
        </w:p>
      </w:tc>
    </w:tr>
  </w:tbl>
  <w:p>
    <w:pPr>
      <w:pStyle w:val="HeadingRigh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712"/>
      <w:gridCol w:w="4241"/>
      <w:gridCol w:w="27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7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2026-06-30</w:t>
          </w:r>
          <w:r>
            <w:fldChar w:fldCharType="end"/>
          </w:r>
          <w:r>
            <w:rPr>
              <w:rFonts w:hint="eastAsia"/>
            </w:rPr>
            <w:t>)</w:t>
          </w:r>
        </w:p>
      </w:tc>
      <w:tc>
        <w:tcPr>
          <w:tcW w:w="42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Holder Proprietary and Confidential                   </w:t>
          </w:r>
          <w:r>
            <w:rPr>
              <w:rFonts w:cs="Times New Roman"/>
            </w:rPr>
            <w:t>Copyright © Copyright Holder.</w:t>
          </w:r>
          <w:r>
            <w:rPr>
              <w:rFonts w:cs="Times New Roman"/>
            </w:rPr>
            <w:fldChar w:fldCharType="end"/>
          </w:r>
        </w:p>
      </w:tc>
      <w:tc>
        <w:tcPr>
          <w:tcW w:w="2712" w:type="dxa"/>
        </w:tcPr>
        <w:p>
          <w:pPr>
            <w:pStyle w:val="HeadingRight"/>
            <w:rPr>
              <w:rFonts w:hint="eastAsia"/>
            </w:rPr>
          </w:pPr>
          <w:r>
            <w:fldChar w:fldCharType="begin"/>
          </w:r>
          <w:r>
            <w:instrText xml:space="preserve">PAGE  </w:instrText>
          </w:r>
          <w:r>
            <w:fldChar w:fldCharType="separate"/>
          </w:r>
          <w:r>
            <w:t>1-1</w:t>
          </w:r>
          <w:r>
            <w:fldChar w:fldCharType="end"/>
          </w:r>
        </w:p>
      </w:tc>
    </w:tr>
  </w:tbl>
  <w:p>
    <w:pPr>
      <w:pStyle w:val="HeadingRight"/>
      <w:rPr>
        <w:rFonts w:hint="eastAsia"/>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721"/>
      <w:gridCol w:w="4253"/>
      <w:gridCol w:w="272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721" w:type="dxa"/>
        </w:tcPr>
        <w:p>
          <w:pPr>
            <w:pStyle w:val="HeadingLeft"/>
            <w:rPr>
              <w:rFonts w:hint="eastAsia"/>
            </w:rPr>
          </w:pPr>
          <w:r>
            <w:fldChar w:fldCharType="begin"/>
          </w:r>
          <w:r>
            <w:instrText xml:space="preserve">PAGE  </w:instrText>
          </w:r>
          <w:r>
            <w:fldChar w:fldCharType="separate"/>
          </w:r>
          <w:r>
            <w:t>2-22</w:t>
          </w:r>
          <w:r>
            <w:fldChar w:fldCharType="end"/>
          </w:r>
        </w:p>
      </w:tc>
      <w:tc>
        <w:tcPr>
          <w:tcW w:w="4253"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Holder Proprietary and Confidential                   </w:t>
          </w:r>
          <w:r>
            <w:rPr>
              <w:rFonts w:cs="Times New Roman"/>
            </w:rPr>
            <w:t>Copyright © Copyright Holder.</w:t>
          </w:r>
          <w:r>
            <w:rPr>
              <w:rFonts w:cs="Times New Roman"/>
            </w:rPr>
            <w:fldChar w:fldCharType="end"/>
          </w:r>
        </w:p>
      </w:tc>
      <w:tc>
        <w:tcPr>
          <w:tcW w:w="2722" w:type="dxa"/>
        </w:tcPr>
        <w:p>
          <w:pPr>
            <w:pStyle w:val="HeadingRigh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2026-06-30</w:t>
          </w:r>
          <w:r>
            <w:fldChar w:fldCharType="end"/>
          </w:r>
          <w:r>
            <w:rPr>
              <w:rFonts w:hint="eastAsia"/>
            </w:rPr>
            <w:t>)</w:t>
          </w:r>
        </w:p>
      </w:tc>
    </w:tr>
  </w:tbl>
  <w:p>
    <w:pPr>
      <w:pStyle w:val="HeadingRight"/>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712"/>
      <w:gridCol w:w="4241"/>
      <w:gridCol w:w="27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7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2026-06-30</w:t>
          </w:r>
          <w:r>
            <w:fldChar w:fldCharType="end"/>
          </w:r>
          <w:r>
            <w:rPr>
              <w:rFonts w:hint="eastAsia"/>
            </w:rPr>
            <w:t>)</w:t>
          </w:r>
        </w:p>
      </w:tc>
      <w:tc>
        <w:tcPr>
          <w:tcW w:w="42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Holder Proprietary and Confidential                   </w:t>
          </w:r>
          <w:r>
            <w:rPr>
              <w:rFonts w:cs="Times New Roman"/>
            </w:rPr>
            <w:t>Copyright © Copyright Holder.</w:t>
          </w:r>
          <w:r>
            <w:rPr>
              <w:rFonts w:cs="Times New Roman"/>
            </w:rPr>
            <w:fldChar w:fldCharType="end"/>
          </w:r>
        </w:p>
      </w:tc>
      <w:tc>
        <w:tcPr>
          <w:tcW w:w="2712" w:type="dxa"/>
        </w:tcPr>
        <w:p>
          <w:pPr>
            <w:pStyle w:val="HeadingRight"/>
            <w:rPr>
              <w:rFonts w:hint="eastAsia"/>
            </w:rPr>
          </w:pPr>
          <w:r>
            <w:fldChar w:fldCharType="begin"/>
          </w:r>
          <w:r>
            <w:instrText xml:space="preserve">PAGE  </w:instrText>
          </w:r>
          <w:r>
            <w:fldChar w:fldCharType="separate"/>
          </w:r>
          <w:r>
            <w:t>2-21</w:t>
          </w:r>
          <w:r>
            <w:fldChar w:fldCharType="end"/>
          </w:r>
        </w:p>
      </w:tc>
    </w:tr>
  </w:tbl>
  <w:p>
    <w:pPr>
      <w:pStyle w:val="HeadingRight"/>
      <w:rPr>
        <w:rFonts w:hint="eastAsia"/>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721"/>
      <w:gridCol w:w="4253"/>
      <w:gridCol w:w="272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721" w:type="dxa"/>
        </w:tcPr>
        <w:p>
          <w:pPr>
            <w:pStyle w:val="HeadingLeft"/>
            <w:rPr>
              <w:rFonts w:hint="eastAsia"/>
            </w:rPr>
          </w:pPr>
          <w:r>
            <w:fldChar w:fldCharType="begin"/>
          </w:r>
          <w:r>
            <w:instrText xml:space="preserve">PAGE  </w:instrText>
          </w:r>
          <w:r>
            <w:fldChar w:fldCharType="separate"/>
          </w:r>
          <w:r>
            <w:t>3-12</w:t>
          </w:r>
          <w:r>
            <w:fldChar w:fldCharType="end"/>
          </w:r>
        </w:p>
      </w:tc>
      <w:tc>
        <w:tcPr>
          <w:tcW w:w="4253"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Holder Proprietary and Confidential                   </w:t>
          </w:r>
          <w:r>
            <w:rPr>
              <w:rFonts w:cs="Times New Roman"/>
            </w:rPr>
            <w:t>Copyright © Copyright Holder.</w:t>
          </w:r>
          <w:r>
            <w:rPr>
              <w:rFonts w:cs="Times New Roman"/>
            </w:rPr>
            <w:fldChar w:fldCharType="end"/>
          </w:r>
        </w:p>
      </w:tc>
      <w:tc>
        <w:tcPr>
          <w:tcW w:w="2722" w:type="dxa"/>
        </w:tcPr>
        <w:p>
          <w:pPr>
            <w:pStyle w:val="HeadingRigh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2026-06-30</w:t>
          </w:r>
          <w:r>
            <w:fldChar w:fldCharType="end"/>
          </w:r>
          <w:r>
            <w:rPr>
              <w:rFonts w:hint="eastAsia"/>
            </w:rPr>
            <w:t>)</w:t>
          </w:r>
        </w:p>
      </w:tc>
    </w:tr>
  </w:tbl>
  <w:p>
    <w:pPr>
      <w:pStyle w:val="HeadingRight"/>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712"/>
      <w:gridCol w:w="4241"/>
      <w:gridCol w:w="27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7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2026-06-30</w:t>
          </w:r>
          <w:r>
            <w:fldChar w:fldCharType="end"/>
          </w:r>
          <w:r>
            <w:rPr>
              <w:rFonts w:hint="eastAsia"/>
            </w:rPr>
            <w:t>)</w:t>
          </w:r>
        </w:p>
      </w:tc>
      <w:tc>
        <w:tcPr>
          <w:tcW w:w="42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Holder Proprietary and Confidential                   </w:t>
          </w:r>
          <w:r>
            <w:rPr>
              <w:rFonts w:cs="Times New Roman"/>
            </w:rPr>
            <w:t>Copyright © Copyright Holder.</w:t>
          </w:r>
          <w:r>
            <w:rPr>
              <w:rFonts w:cs="Times New Roman"/>
            </w:rPr>
            <w:fldChar w:fldCharType="end"/>
          </w:r>
        </w:p>
      </w:tc>
      <w:tc>
        <w:tcPr>
          <w:tcW w:w="2712" w:type="dxa"/>
        </w:tcPr>
        <w:p>
          <w:pPr>
            <w:pStyle w:val="HeadingRight"/>
            <w:rPr>
              <w:rFonts w:hint="eastAsia"/>
            </w:rPr>
          </w:pPr>
          <w:r>
            <w:fldChar w:fldCharType="begin"/>
          </w:r>
          <w:r>
            <w:instrText xml:space="preserve">PAGE  </w:instrText>
          </w:r>
          <w:r>
            <w:fldChar w:fldCharType="separate"/>
          </w:r>
          <w:r>
            <w:t>3-13</w:t>
          </w:r>
          <w:r>
            <w:fldChar w:fldCharType="end"/>
          </w:r>
        </w:p>
      </w:tc>
    </w:tr>
  </w:tbl>
  <w:p>
    <w:pPr>
      <w:pStyle w:val="HeadingRight"/>
      <w:rPr>
        <w:rFonts w:hint="eastAsia"/>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721"/>
      <w:gridCol w:w="4253"/>
      <w:gridCol w:w="272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721" w:type="dxa"/>
        </w:tcPr>
        <w:p>
          <w:pPr>
            <w:pStyle w:val="HeadingLeft"/>
            <w:rPr>
              <w:rFonts w:hint="eastAsia"/>
            </w:rPr>
          </w:pPr>
          <w:r>
            <w:fldChar w:fldCharType="begin"/>
          </w:r>
          <w:r>
            <w:instrText xml:space="preserve">PAGE  </w:instrText>
          </w:r>
          <w:r>
            <w:fldChar w:fldCharType="separate"/>
          </w:r>
          <w:r>
            <w:t>4-2</w:t>
          </w:r>
          <w:r>
            <w:fldChar w:fldCharType="end"/>
          </w:r>
        </w:p>
      </w:tc>
      <w:tc>
        <w:tcPr>
          <w:tcW w:w="4253"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Holder Proprietary and Confidential                   </w:t>
          </w:r>
          <w:r>
            <w:rPr>
              <w:rFonts w:cs="Times New Roman"/>
            </w:rPr>
            <w:t>Copyright © Copyright Holder.</w:t>
          </w:r>
          <w:r>
            <w:rPr>
              <w:rFonts w:cs="Times New Roman"/>
            </w:rPr>
            <w:fldChar w:fldCharType="end"/>
          </w:r>
        </w:p>
      </w:tc>
      <w:tc>
        <w:tcPr>
          <w:tcW w:w="2722" w:type="dxa"/>
        </w:tcPr>
        <w:p>
          <w:pPr>
            <w:pStyle w:val="HeadingRigh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2026-06-30</w:t>
          </w:r>
          <w:r>
            <w:fldChar w:fldCharType="end"/>
          </w:r>
          <w:r>
            <w:rPr>
              <w:rFonts w:hint="eastAsia"/>
            </w:rPr>
            <w:t>)</w:t>
          </w:r>
        </w:p>
      </w:tc>
    </w:tr>
  </w:tbl>
  <w:p>
    <w:pPr>
      <w:pStyle w:val="HeadingRight"/>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712"/>
      <w:gridCol w:w="4241"/>
      <w:gridCol w:w="27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7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2026-06-30</w:t>
          </w:r>
          <w:r>
            <w:fldChar w:fldCharType="end"/>
          </w:r>
          <w:r>
            <w:rPr>
              <w:rFonts w:hint="eastAsia"/>
            </w:rPr>
            <w:t>)</w:t>
          </w:r>
        </w:p>
      </w:tc>
      <w:tc>
        <w:tcPr>
          <w:tcW w:w="42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Holder Proprietary and Confidential                   </w:t>
          </w:r>
          <w:r>
            <w:rPr>
              <w:rFonts w:cs="Times New Roman"/>
            </w:rPr>
            <w:t>Copyright © Copyright Holder.</w:t>
          </w:r>
          <w:r>
            <w:rPr>
              <w:rFonts w:cs="Times New Roman"/>
            </w:rPr>
            <w:fldChar w:fldCharType="end"/>
          </w:r>
        </w:p>
      </w:tc>
      <w:tc>
        <w:tcPr>
          <w:tcW w:w="2712" w:type="dxa"/>
        </w:tcPr>
        <w:p>
          <w:pPr>
            <w:pStyle w:val="HeadingRight"/>
            <w:rPr>
              <w:rFonts w:hint="eastAsia"/>
            </w:rPr>
          </w:pPr>
          <w:r>
            <w:fldChar w:fldCharType="begin"/>
          </w:r>
          <w:r>
            <w:instrText xml:space="preserve">PAGE  </w:instrText>
          </w:r>
          <w:r>
            <w:fldChar w:fldCharType="separate"/>
          </w:r>
          <w:r>
            <w:t>4-3</w:t>
          </w:r>
          <w:r>
            <w:fldChar w:fldCharType="end"/>
          </w:r>
        </w:p>
      </w:tc>
    </w:tr>
  </w:tbl>
  <w:p>
    <w:pPr>
      <w:pStyle w:val="HeadingRight"/>
      <w:rPr>
        <w:rFonts w:hint="eastAsi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
        <w:separator/>
      </w:r>
    </w:p>
    <w:p/>
    <w:p/>
    <w:p/>
    <w:p/>
  </w:footnote>
  <w:footnote w:type="continuationSeparator" w:id="1">
    <w:p>
      <w:r>
        <w:continuationSeparator/>
      </w:r>
    </w:p>
    <w:p/>
    <w:p/>
    <w:p/>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r>
            <w:fldChar w:fldCharType="begin"/>
          </w:r>
          <w:r>
            <w:instrText xml:space="preserve"> STYLEREF  "Contents" </w:instrText>
          </w:r>
          <w:r>
            <w:fldChar w:fldCharType="separate"/>
          </w:r>
          <w:r>
            <w:t>Contents</w:t>
          </w:r>
          <w:r>
            <w:fldChar w:fldCharType="end"/>
          </w:r>
        </w:p>
      </w:tc>
      <w:tc>
        <w:tcPr>
          <w:tcW w:w="4200" w:type="dxa"/>
          <w:vAlign w:val="bottom"/>
        </w:tcPr>
        <w:p>
          <w:pPr>
            <w:pStyle w:val="HeadingRight"/>
            <w:rPr>
              <w:rFonts w:hint="eastAsia"/>
            </w:rPr>
          </w:pPr>
          <w:r>
            <w:fldChar w:fldCharType="begin"/>
          </w:r>
          <w:r>
            <w:instrText xml:space="preserve"> DOCPROPERTY  Trademark&amp;ProductType </w:instrText>
          </w:r>
          <w:r>
            <w:fldChar w:fldCharType="separate"/>
          </w:r>
          <w:r>
            <w:t>Immersive Telepresence</w:t>
          </w:r>
          <w:r>
            <w:fldChar w:fldCharType="end"/>
          </w:r>
        </w:p>
        <w:p>
          <w:pPr>
            <w:pStyle w:val="HeadingRight"/>
            <w:rPr>
              <w:rFonts w:cs="Times New Roman"/>
            </w:rPr>
          </w:pPr>
          <w:r>
            <w:fldChar w:fldCharType="begin"/>
          </w:r>
          <w:r>
            <w:instrText xml:space="preserve"> DOCPROPERTY  DocumentName </w:instrText>
          </w:r>
          <w:r>
            <w:fldChar w:fldCharType="separate"/>
          </w:r>
          <w:r>
            <w:t>Conference Room Decoration Guide</w:t>
          </w:r>
          <w:r>
            <w:fldChar w:fldCharType="end"/>
          </w:r>
        </w:p>
      </w:tc>
    </w:tr>
  </w:tbl>
  <w:p>
    <w:pPr>
      <w:pStyle w:val="Heading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Trademark&amp;ProductType </w:instrText>
          </w:r>
          <w:r>
            <w:fldChar w:fldCharType="separate"/>
          </w:r>
          <w:r>
            <w:t>Immersive Telepresence</w:t>
          </w:r>
          <w:r>
            <w:fldChar w:fldCharType="end"/>
          </w:r>
        </w:p>
        <w:p>
          <w:pPr>
            <w:pStyle w:val="HeadingLeft"/>
            <w:rPr>
              <w:rFonts w:cs="Times New Roman"/>
            </w:rPr>
          </w:pPr>
          <w:r>
            <w:fldChar w:fldCharType="begin"/>
          </w:r>
          <w:r>
            <w:instrText xml:space="preserve"> DOCPROPERTY  DocumentName </w:instrText>
          </w:r>
          <w:r>
            <w:fldChar w:fldCharType="separate"/>
          </w:r>
          <w:r>
            <w:t>Conference Room Decoration Guide</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t>Contents</w:t>
          </w:r>
          <w:r>
            <w:fldChar w:fldCharType="end"/>
          </w:r>
        </w:p>
      </w:tc>
    </w:tr>
  </w:tbl>
  <w:p>
    <w:pPr>
      <w:pStyle w:val="Heading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cs="Times New Roman"/>
            </w:rPr>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c>
        <w:tcPr>
          <w:tcW w:w="4830" w:type="dxa"/>
          <w:vAlign w:val="bottom"/>
        </w:tcPr>
        <w:p>
          <w:pPr>
            <w:pStyle w:val="HeadingRight"/>
            <w:rPr>
              <w:rFonts w:hint="eastAsia"/>
            </w:rPr>
          </w:pPr>
          <w:r>
            <w:fldChar w:fldCharType="begin"/>
          </w:r>
          <w:r>
            <w:instrText xml:space="preserve"> DOCPROPERTY  Trademark&amp;ProductType </w:instrText>
          </w:r>
          <w:r>
            <w:fldChar w:fldCharType="separate"/>
          </w:r>
          <w:r>
            <w:t>Immersive Telepresence</w:t>
          </w:r>
          <w:r>
            <w:fldChar w:fldCharType="end"/>
          </w:r>
        </w:p>
        <w:p>
          <w:pPr>
            <w:pStyle w:val="HeadingRight"/>
            <w:rPr>
              <w:rFonts w:cs="Times New Roman"/>
            </w:rPr>
          </w:pPr>
          <w:r>
            <w:fldChar w:fldCharType="begin"/>
          </w:r>
          <w:r>
            <w:instrText xml:space="preserve"> DOCPROPERTY  DocumentName </w:instrText>
          </w:r>
          <w:r>
            <w:fldChar w:fldCharType="separate"/>
          </w:r>
          <w:r>
            <w:t>Conference Room Decoration Guide</w:t>
          </w:r>
          <w:r>
            <w:fldChar w:fldCharType="end"/>
          </w:r>
        </w:p>
      </w:tc>
    </w:tr>
  </w:tbl>
  <w:p>
    <w:pPr>
      <w:pStyle w:val="HeadingRigh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Trademark&amp;ProductType </w:instrText>
          </w:r>
          <w:r>
            <w:fldChar w:fldCharType="separate"/>
          </w:r>
          <w:r>
            <w:t>Immersive Telepresence</w:t>
          </w:r>
          <w:r>
            <w:fldChar w:fldCharType="end"/>
          </w:r>
        </w:p>
        <w:p>
          <w:pPr>
            <w:pStyle w:val="HeadingLeft"/>
            <w:rPr>
              <w:rFonts w:cs="Times New Roman"/>
            </w:rPr>
          </w:pPr>
          <w:r>
            <w:fldChar w:fldCharType="begin"/>
          </w:r>
          <w:r>
            <w:instrText xml:space="preserve"> DOCPROPERTY  DocumentName </w:instrText>
          </w:r>
          <w:r>
            <w:fldChar w:fldCharType="separate"/>
          </w:r>
          <w:r>
            <w:t>Conference Room Decoration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 </w:t>
          </w:r>
          <w:r>
            <w:rPr>
              <w:noProof/>
            </w:rPr>
            <w:fldChar w:fldCharType="end"/>
          </w:r>
          <w:r>
            <w:fldChar w:fldCharType="begin"/>
          </w:r>
          <w:r>
            <w:instrText xml:space="preserve"> STYLEREF  "1"  </w:instrText>
          </w:r>
          <w:r>
            <w:fldChar w:fldCharType="separate"/>
          </w:r>
          <w:r>
            <w:t>Purpose</w:t>
          </w:r>
          <w:r>
            <w:fldChar w:fldCharType="end"/>
          </w:r>
        </w:p>
      </w:tc>
    </w:tr>
  </w:tbl>
  <w:p>
    <w:pPr>
      <w:pStyle w:val="HeadingRigh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cs="Times New Roman"/>
            </w:rPr>
          </w:pPr>
          <w:r>
            <w:fldChar w:fldCharType="begin"/>
          </w:r>
          <w:r>
            <w:instrText xml:space="preserve"> STYLEREF  "1" \n  \* MERGEFORMAT </w:instrText>
          </w:r>
          <w:r>
            <w:fldChar w:fldCharType="separate"/>
          </w:r>
          <w:r>
            <w:rPr>
              <w:rFonts w:ascii="Times New Roman" w:eastAsia="宋体" w:cs="Arial"/>
              <w:noProof/>
              <w:kern w:val="2"/>
              <w:sz w:val="20"/>
              <w:szCs w:val="20"/>
              <w:lang w:val="en-US" w:eastAsia="zh-CN" w:bidi="ar-SA"/>
            </w:rPr>
            <w:t xml:space="preserve">2 </w:t>
          </w:r>
          <w:r>
            <w:rPr>
              <w:noProof/>
            </w:rPr>
            <w:fldChar w:fldCharType="end"/>
          </w:r>
          <w:r>
            <w:fldChar w:fldCharType="begin"/>
          </w:r>
          <w:r>
            <w:instrText xml:space="preserve"> STYLEREF  "1"  </w:instrText>
          </w:r>
          <w:r>
            <w:fldChar w:fldCharType="separate"/>
          </w:r>
          <w:r>
            <w:t>Construction Standards</w:t>
          </w:r>
          <w:r>
            <w:fldChar w:fldCharType="end"/>
          </w:r>
        </w:p>
      </w:tc>
      <w:tc>
        <w:tcPr>
          <w:tcW w:w="4830" w:type="dxa"/>
          <w:vAlign w:val="bottom"/>
        </w:tcPr>
        <w:p>
          <w:pPr>
            <w:pStyle w:val="HeadingRight"/>
            <w:rPr>
              <w:rFonts w:hint="eastAsia"/>
            </w:rPr>
          </w:pPr>
          <w:r>
            <w:fldChar w:fldCharType="begin"/>
          </w:r>
          <w:r>
            <w:instrText xml:space="preserve"> DOCPROPERTY  Trademark&amp;ProductType </w:instrText>
          </w:r>
          <w:r>
            <w:fldChar w:fldCharType="separate"/>
          </w:r>
          <w:r>
            <w:t>Immersive Telepresence</w:t>
          </w:r>
          <w:r>
            <w:fldChar w:fldCharType="end"/>
          </w:r>
        </w:p>
        <w:p>
          <w:pPr>
            <w:pStyle w:val="HeadingRight"/>
            <w:rPr>
              <w:rFonts w:cs="Times New Roman"/>
            </w:rPr>
          </w:pPr>
          <w:r>
            <w:fldChar w:fldCharType="begin"/>
          </w:r>
          <w:r>
            <w:instrText xml:space="preserve"> DOCPROPERTY  DocumentName </w:instrText>
          </w:r>
          <w:r>
            <w:fldChar w:fldCharType="separate"/>
          </w:r>
          <w:r>
            <w:t>Conference Room Decoration Guide</w:t>
          </w:r>
          <w:r>
            <w:fldChar w:fldCharType="end"/>
          </w:r>
        </w:p>
      </w:tc>
    </w:tr>
  </w:tbl>
  <w:p>
    <w:pPr>
      <w:pStyle w:val="HeadingRigh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Trademark&amp;ProductType </w:instrText>
          </w:r>
          <w:r>
            <w:fldChar w:fldCharType="separate"/>
          </w:r>
          <w:r>
            <w:t>Immersive Telepresence</w:t>
          </w:r>
          <w:r>
            <w:fldChar w:fldCharType="end"/>
          </w:r>
        </w:p>
        <w:p>
          <w:pPr>
            <w:pStyle w:val="HeadingLeft"/>
            <w:rPr>
              <w:rFonts w:cs="Times New Roman"/>
            </w:rPr>
          </w:pPr>
          <w:r>
            <w:fldChar w:fldCharType="begin"/>
          </w:r>
          <w:r>
            <w:instrText xml:space="preserve"> DOCPROPERTY  DocumentName </w:instrText>
          </w:r>
          <w:r>
            <w:fldChar w:fldCharType="separate"/>
          </w:r>
          <w:r>
            <w:t>Conference Room Decoration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2 </w:t>
          </w:r>
          <w:r>
            <w:rPr>
              <w:noProof/>
            </w:rPr>
            <w:fldChar w:fldCharType="end"/>
          </w:r>
          <w:r>
            <w:fldChar w:fldCharType="begin"/>
          </w:r>
          <w:r>
            <w:instrText xml:space="preserve"> STYLEREF  "1"  </w:instrText>
          </w:r>
          <w:r>
            <w:fldChar w:fldCharType="separate"/>
          </w:r>
          <w:r>
            <w:t>Construction Standards</w:t>
          </w:r>
          <w:r>
            <w:fldChar w:fldCharType="end"/>
          </w:r>
        </w:p>
      </w:tc>
    </w:tr>
  </w:tbl>
  <w:p>
    <w:pPr>
      <w:pStyle w:val="HeadingRigh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cs="Times New Roman"/>
            </w:rPr>
          </w:pPr>
          <w:r>
            <w:fldChar w:fldCharType="begin"/>
          </w:r>
          <w:r>
            <w:instrText xml:space="preserve"> STYLEREF  "1" \n  \* MERGEFORMAT </w:instrText>
          </w:r>
          <w:r>
            <w:fldChar w:fldCharType="separate"/>
          </w:r>
          <w:r>
            <w:rPr>
              <w:rFonts w:ascii="Times New Roman" w:eastAsia="宋体" w:cs="Arial"/>
              <w:noProof/>
              <w:kern w:val="2"/>
              <w:sz w:val="20"/>
              <w:szCs w:val="20"/>
              <w:lang w:val="en-US" w:eastAsia="zh-CN" w:bidi="ar-SA"/>
            </w:rPr>
            <w:t xml:space="preserve">3 </w:t>
          </w:r>
          <w:r>
            <w:rPr>
              <w:noProof/>
            </w:rPr>
            <w:fldChar w:fldCharType="end"/>
          </w:r>
          <w:r>
            <w:fldChar w:fldCharType="begin"/>
          </w:r>
          <w:r>
            <w:instrText xml:space="preserve"> STYLEREF  "1"  </w:instrText>
          </w:r>
          <w:r>
            <w:fldChar w:fldCharType="separate"/>
          </w:r>
          <w:r>
            <w:t>Recommended Conference Room Environment</w:t>
          </w:r>
          <w:r>
            <w:fldChar w:fldCharType="end"/>
          </w:r>
        </w:p>
      </w:tc>
      <w:tc>
        <w:tcPr>
          <w:tcW w:w="4830" w:type="dxa"/>
          <w:vAlign w:val="bottom"/>
        </w:tcPr>
        <w:p>
          <w:pPr>
            <w:pStyle w:val="HeadingRight"/>
            <w:rPr>
              <w:rFonts w:hint="eastAsia"/>
            </w:rPr>
          </w:pPr>
          <w:r>
            <w:fldChar w:fldCharType="begin"/>
          </w:r>
          <w:r>
            <w:instrText xml:space="preserve"> DOCPROPERTY  Trademark&amp;ProductType </w:instrText>
          </w:r>
          <w:r>
            <w:fldChar w:fldCharType="separate"/>
          </w:r>
          <w:r>
            <w:t>Immersive Telepresence</w:t>
          </w:r>
          <w:r>
            <w:fldChar w:fldCharType="end"/>
          </w:r>
        </w:p>
        <w:p>
          <w:pPr>
            <w:pStyle w:val="HeadingRight"/>
            <w:rPr>
              <w:rFonts w:cs="Times New Roman"/>
            </w:rPr>
          </w:pPr>
          <w:r>
            <w:fldChar w:fldCharType="begin"/>
          </w:r>
          <w:r>
            <w:instrText xml:space="preserve"> DOCPROPERTY  DocumentName </w:instrText>
          </w:r>
          <w:r>
            <w:fldChar w:fldCharType="separate"/>
          </w:r>
          <w:r>
            <w:t>Conference Room Decoration Guide</w:t>
          </w:r>
          <w:r>
            <w:fldChar w:fldCharType="end"/>
          </w:r>
        </w:p>
      </w:tc>
    </w:tr>
  </w:tbl>
  <w:p>
    <w:pPr>
      <w:pStyle w:val="HeadingRight"/>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Trademark&amp;ProductType </w:instrText>
          </w:r>
          <w:r>
            <w:fldChar w:fldCharType="separate"/>
          </w:r>
          <w:r>
            <w:t>Immersive Telepresence</w:t>
          </w:r>
          <w:r>
            <w:fldChar w:fldCharType="end"/>
          </w:r>
        </w:p>
        <w:p>
          <w:pPr>
            <w:pStyle w:val="HeadingLeft"/>
            <w:rPr>
              <w:rFonts w:cs="Times New Roman"/>
            </w:rPr>
          </w:pPr>
          <w:r>
            <w:fldChar w:fldCharType="begin"/>
          </w:r>
          <w:r>
            <w:instrText xml:space="preserve"> DOCPROPERTY  DocumentName </w:instrText>
          </w:r>
          <w:r>
            <w:fldChar w:fldCharType="separate"/>
          </w:r>
          <w:r>
            <w:t>Conference Room Decoration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3 </w:t>
          </w:r>
          <w:r>
            <w:rPr>
              <w:noProof/>
            </w:rPr>
            <w:fldChar w:fldCharType="end"/>
          </w:r>
          <w:r>
            <w:fldChar w:fldCharType="begin"/>
          </w:r>
          <w:r>
            <w:instrText xml:space="preserve"> STYLEREF  "1"  </w:instrText>
          </w:r>
          <w:r>
            <w:fldChar w:fldCharType="separate"/>
          </w:r>
          <w:r>
            <w:t>Recommended Conference Room Environment</w:t>
          </w:r>
          <w:r>
            <w:fldChar w:fldCharType="end"/>
          </w:r>
        </w:p>
      </w:tc>
    </w:tr>
  </w:tbl>
  <w:p>
    <w:pPr>
      <w:pStyle w:val="HeadingRight"/>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cs="Times New Roman"/>
            </w:rPr>
          </w:pPr>
          <w:r>
            <w:fldChar w:fldCharType="begin"/>
          </w:r>
          <w:r>
            <w:instrText xml:space="preserve"> STYLEREF  "1" \n  \* MERGEFORMAT </w:instrText>
          </w:r>
          <w:r>
            <w:fldChar w:fldCharType="separate"/>
          </w:r>
          <w:r>
            <w:rPr>
              <w:rFonts w:ascii="Times New Roman" w:eastAsia="宋体" w:cs="Arial"/>
              <w:noProof/>
              <w:kern w:val="2"/>
              <w:sz w:val="20"/>
              <w:szCs w:val="20"/>
              <w:lang w:val="en-US" w:eastAsia="zh-CN" w:bidi="ar-SA"/>
            </w:rPr>
            <w:t xml:space="preserve">4 </w:t>
          </w:r>
          <w:r>
            <w:rPr>
              <w:noProof/>
            </w:rPr>
            <w:fldChar w:fldCharType="end"/>
          </w:r>
          <w:r>
            <w:fldChar w:fldCharType="begin"/>
          </w:r>
          <w:r>
            <w:instrText xml:space="preserve"> STYLEREF  "1"  </w:instrText>
          </w:r>
          <w:r>
            <w:fldChar w:fldCharType="separate"/>
          </w:r>
          <w:r>
            <w:t>Appendix</w:t>
          </w:r>
          <w:r>
            <w:fldChar w:fldCharType="end"/>
          </w:r>
        </w:p>
      </w:tc>
      <w:tc>
        <w:tcPr>
          <w:tcW w:w="4830" w:type="dxa"/>
          <w:vAlign w:val="bottom"/>
        </w:tcPr>
        <w:p>
          <w:pPr>
            <w:pStyle w:val="HeadingRight"/>
            <w:rPr>
              <w:rFonts w:hint="eastAsia"/>
            </w:rPr>
          </w:pPr>
          <w:r>
            <w:fldChar w:fldCharType="begin"/>
          </w:r>
          <w:r>
            <w:instrText xml:space="preserve"> DOCPROPERTY  Trademark&amp;ProductType </w:instrText>
          </w:r>
          <w:r>
            <w:fldChar w:fldCharType="separate"/>
          </w:r>
          <w:r>
            <w:t>Immersive Telepresence</w:t>
          </w:r>
          <w:r>
            <w:fldChar w:fldCharType="end"/>
          </w:r>
        </w:p>
        <w:p>
          <w:pPr>
            <w:pStyle w:val="HeadingRight"/>
            <w:rPr>
              <w:rFonts w:cs="Times New Roman"/>
            </w:rPr>
          </w:pPr>
          <w:r>
            <w:fldChar w:fldCharType="begin"/>
          </w:r>
          <w:r>
            <w:instrText xml:space="preserve"> DOCPROPERTY  DocumentName </w:instrText>
          </w:r>
          <w:r>
            <w:fldChar w:fldCharType="separate"/>
          </w:r>
          <w:r>
            <w:t>Conference Room Decoration Guide</w:t>
          </w:r>
          <w:r>
            <w:fldChar w:fldCharType="end"/>
          </w:r>
        </w:p>
      </w:tc>
    </w:tr>
  </w:tbl>
  <w:p>
    <w:pPr>
      <w:pStyle w:val="HeadingRight"/>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Trademark&amp;ProductType </w:instrText>
          </w:r>
          <w:r>
            <w:fldChar w:fldCharType="separate"/>
          </w:r>
          <w:r>
            <w:t>Immersive Telepresence</w:t>
          </w:r>
          <w:r>
            <w:fldChar w:fldCharType="end"/>
          </w:r>
        </w:p>
        <w:p>
          <w:pPr>
            <w:pStyle w:val="HeadingLeft"/>
            <w:rPr>
              <w:rFonts w:cs="Times New Roman"/>
            </w:rPr>
          </w:pPr>
          <w:r>
            <w:fldChar w:fldCharType="begin"/>
          </w:r>
          <w:r>
            <w:instrText xml:space="preserve"> DOCPROPERTY  DocumentName </w:instrText>
          </w:r>
          <w:r>
            <w:fldChar w:fldCharType="separate"/>
          </w:r>
          <w:r>
            <w:t>Conference Room Decoration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4 </w:t>
          </w:r>
          <w:r>
            <w:rPr>
              <w:noProof/>
            </w:rPr>
            <w:fldChar w:fldCharType="end"/>
          </w:r>
          <w:r>
            <w:fldChar w:fldCharType="begin"/>
          </w:r>
          <w:r>
            <w:instrText xml:space="preserve"> STYLEREF  "1"  </w:instrText>
          </w:r>
          <w:r>
            <w:fldChar w:fldCharType="separate"/>
          </w:r>
          <w:r>
            <w:t>Appendix</w:t>
          </w:r>
          <w:r>
            <w:fldChar w:fldCharType="end"/>
          </w:r>
        </w:p>
      </w:tc>
    </w:tr>
  </w:tbl>
  <w:p>
    <w:pPr>
      <w:pStyle w:val="Heading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9A0F9D2"/>
    <w:lvl w:ilvl="0">
      <w:start w:val="1"/>
      <w:numFmt w:val="decimal"/>
      <w:pStyle w:val="ListNumber5"/>
      <w:lvlText w:val="%1."/>
      <w:lvlJc w:val="left"/>
      <w:pPr>
        <w:tabs>
          <w:tab w:val="num" w:pos="2040"/>
        </w:tabs>
        <w:ind w:left="2040" w:hanging="360"/>
      </w:pPr>
    </w:lvl>
  </w:abstractNum>
  <w:abstractNum w:abstractNumId="1">
    <w:nsid w:val="FFFFFF7D"/>
    <w:multiLevelType w:val="singleLevel"/>
    <w:tmpl w:val="B67E9368"/>
    <w:lvl w:ilvl="0">
      <w:start w:val="1"/>
      <w:numFmt w:val="decimal"/>
      <w:pStyle w:val="ListNumber4"/>
      <w:lvlText w:val="%1."/>
      <w:lvlJc w:val="left"/>
      <w:pPr>
        <w:tabs>
          <w:tab w:val="num" w:pos="1620"/>
        </w:tabs>
        <w:ind w:left="1620" w:hanging="360"/>
      </w:pPr>
    </w:lvl>
  </w:abstractNum>
  <w:abstractNum w:abstractNumId="2">
    <w:nsid w:val="FFFFFF7E"/>
    <w:multiLevelType w:val="singleLevel"/>
    <w:tmpl w:val="B3569E6A"/>
    <w:lvl w:ilvl="0">
      <w:start w:val="1"/>
      <w:numFmt w:val="decimal"/>
      <w:pStyle w:val="ListNumber3"/>
      <w:lvlText w:val="%1."/>
      <w:lvlJc w:val="left"/>
      <w:pPr>
        <w:tabs>
          <w:tab w:val="num" w:pos="1200"/>
        </w:tabs>
        <w:ind w:left="1200" w:hanging="360"/>
      </w:pPr>
    </w:lvl>
  </w:abstractNum>
  <w:abstractNum w:abstractNumId="3">
    <w:nsid w:val="FFFFFF7F"/>
    <w:multiLevelType w:val="singleLevel"/>
    <w:tmpl w:val="C380AB64"/>
    <w:lvl w:ilvl="0">
      <w:start w:val="1"/>
      <w:numFmt w:val="decimal"/>
      <w:pStyle w:val="ListNumber2"/>
      <w:lvlText w:val="%1."/>
      <w:lvlJc w:val="left"/>
      <w:pPr>
        <w:tabs>
          <w:tab w:val="num" w:pos="780"/>
        </w:tabs>
        <w:ind w:left="780" w:hanging="360"/>
      </w:pPr>
    </w:lvl>
  </w:abstractNum>
  <w:abstractNum w:abstractNumId="4">
    <w:nsid w:val="FFFFFF80"/>
    <w:multiLevelType w:val="singleLevel"/>
    <w:tmpl w:val="5540CDCC"/>
    <w:lvl w:ilvl="0">
      <w:start w:val="1"/>
      <w:numFmt w:val="bullet"/>
      <w:pStyle w:val="ListBullet5"/>
      <w:lvlText w:val=""/>
      <w:lvlJc w:val="left"/>
      <w:pPr>
        <w:tabs>
          <w:tab w:val="num" w:pos="2040"/>
        </w:tabs>
        <w:ind w:left="2040" w:hanging="360"/>
      </w:pPr>
      <w:rPr>
        <w:rFonts w:ascii="Wingdings" w:hAnsi="Wingdings" w:hint="default"/>
      </w:rPr>
    </w:lvl>
  </w:abstractNum>
  <w:abstractNum w:abstractNumId="5">
    <w:nsid w:val="FFFFFF81"/>
    <w:multiLevelType w:val="singleLevel"/>
    <w:tmpl w:val="62AAB2E4"/>
    <w:lvl w:ilvl="0">
      <w:start w:val="1"/>
      <w:numFmt w:val="bullet"/>
      <w:pStyle w:val="ListBullet4"/>
      <w:lvlText w:val=""/>
      <w:lvlJc w:val="left"/>
      <w:pPr>
        <w:tabs>
          <w:tab w:val="num" w:pos="1620"/>
        </w:tabs>
        <w:ind w:left="1620" w:hanging="360"/>
      </w:pPr>
      <w:rPr>
        <w:rFonts w:ascii="Wingdings" w:hAnsi="Wingdings" w:hint="default"/>
      </w:rPr>
    </w:lvl>
  </w:abstractNum>
  <w:abstractNum w:abstractNumId="6">
    <w:nsid w:val="FFFFFF82"/>
    <w:multiLevelType w:val="singleLevel"/>
    <w:tmpl w:val="82CC6F5A"/>
    <w:lvl w:ilvl="0">
      <w:start w:val="1"/>
      <w:numFmt w:val="bullet"/>
      <w:pStyle w:val="ListBullet3"/>
      <w:lvlText w:val=""/>
      <w:lvlJc w:val="left"/>
      <w:pPr>
        <w:tabs>
          <w:tab w:val="num" w:pos="1200"/>
        </w:tabs>
        <w:ind w:left="1200" w:hanging="360"/>
      </w:pPr>
      <w:rPr>
        <w:rFonts w:ascii="Wingdings" w:hAnsi="Wingdings" w:hint="default"/>
      </w:rPr>
    </w:lvl>
  </w:abstractNum>
  <w:abstractNum w:abstractNumId="7">
    <w:nsid w:val="FFFFFF83"/>
    <w:multiLevelType w:val="singleLevel"/>
    <w:tmpl w:val="8CEEF62C"/>
    <w:lvl w:ilvl="0">
      <w:start w:val="1"/>
      <w:numFmt w:val="bullet"/>
      <w:pStyle w:val="ListBullet2"/>
      <w:lvlText w:val=""/>
      <w:lvlJc w:val="left"/>
      <w:pPr>
        <w:tabs>
          <w:tab w:val="num" w:pos="780"/>
        </w:tabs>
        <w:ind w:left="780" w:hanging="360"/>
      </w:pPr>
      <w:rPr>
        <w:rFonts w:ascii="Wingdings" w:hAnsi="Wingdings" w:hint="default"/>
      </w:rPr>
    </w:lvl>
  </w:abstractNum>
  <w:abstractNum w:abstractNumId="8">
    <w:nsid w:val="FFFFFF88"/>
    <w:multiLevelType w:val="singleLevel"/>
    <w:tmpl w:val="DA3EF8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B607E8"/>
    <w:lvl w:ilvl="0">
      <w:start w:val="1"/>
      <w:numFmt w:val="bullet"/>
      <w:pStyle w:val="ListBullet"/>
      <w:lvlText w:val=""/>
      <w:lvlJc w:val="left"/>
      <w:pPr>
        <w:tabs>
          <w:tab w:val="num" w:pos="360"/>
        </w:tabs>
        <w:ind w:left="360" w:hanging="360"/>
      </w:pPr>
      <w:rPr>
        <w:rFonts w:ascii="Wingdings" w:hAnsi="Wingdings" w:hint="default"/>
      </w:rPr>
    </w:lvl>
  </w:abstractNum>
  <w:abstractNum w:abstractNumId="10">
    <w:nsid w:val="05581F28"/>
    <w:multiLevelType w:val="multilevel"/>
    <w:tmpl w:val="A9581F64"/>
    <w:lvl w:ilvl="0">
      <w:start w:val="1"/>
      <w:numFmt w:val="decimal"/>
      <w:suff w:val="nothing"/>
      <w:lvlText w:val="%1 "/>
      <w:lvlJc w:val="left"/>
      <w:pPr>
        <w:ind w:left="-143"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43"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559"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558"/>
        </w:tabs>
        <w:ind w:left="1558"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558"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558" w:firstLine="0"/>
      </w:pPr>
      <w:rPr>
        <w:rFonts w:ascii="Times New Roman" w:eastAsia="黑体" w:hAnsi="Times New Roman" w:hint="default"/>
        <w:b/>
        <w:bCs/>
        <w:i w:val="0"/>
        <w:iCs w:val="0"/>
        <w:color w:val="auto"/>
        <w:sz w:val="21"/>
        <w:szCs w:val="21"/>
      </w:rPr>
    </w:lvl>
  </w:abstractNum>
  <w:abstractNum w:abstractNumId="11">
    <w:nsid w:val="0EDB2900"/>
    <w:multiLevelType w:val="hybridMultilevel"/>
    <w:tmpl w:val="1698331E"/>
    <w:lvl w:ilvl="0">
      <w:start w:val="1"/>
      <w:numFmt w:val="bullet"/>
      <w:pStyle w:val="SubItemList"/>
      <w:lvlText w:val="−"/>
      <w:lvlJc w:val="left"/>
      <w:pPr>
        <w:tabs>
          <w:tab w:val="num" w:pos="2551"/>
        </w:tabs>
        <w:ind w:left="2551" w:hanging="425"/>
      </w:pPr>
      <w:rPr>
        <w:rFonts w:ascii="Times New Roman" w:hAnsi="Times New Roman" w:cs="Times New Roman" w:hint="default"/>
        <w:sz w:val="16"/>
        <w:szCs w:val="16"/>
      </w:rPr>
    </w:lvl>
    <w:lvl w:ilvl="1">
      <w:start w:val="1"/>
      <w:numFmt w:val="ganada"/>
      <w:pStyle w:val="ThirdLevelItemList"/>
      <w:lvlText w:val=""/>
      <w:lvlJc w:val="left"/>
      <w:pPr>
        <w:tabs>
          <w:tab w:val="num" w:pos="2976"/>
        </w:tabs>
        <w:ind w:left="2976" w:hanging="425"/>
      </w:pPr>
      <w:rPr>
        <w:rFonts w:ascii="Wingdings" w:hAnsi="Wingdings" w:cs="Wingdings" w:hint="default"/>
        <w:sz w:val="16"/>
        <w:szCs w:val="16"/>
      </w:rPr>
    </w:lvl>
    <w:lvl w:ilvl="2">
      <w:start w:val="1"/>
      <w:numFmt w:val="bullet"/>
      <w:pStyle w:val="FourthLevelItemList"/>
      <w:lvlText w:val="□"/>
      <w:lvlJc w:val="left"/>
      <w:pPr>
        <w:tabs>
          <w:tab w:val="num" w:pos="3401"/>
        </w:tabs>
        <w:ind w:left="3401" w:hanging="425"/>
      </w:pPr>
      <w:rPr>
        <w:rFonts w:ascii="Wingdings" w:hAnsi="Wingdings" w:cs="Wingdings" w:hint="default"/>
        <w:sz w:val="16"/>
        <w:szCs w:val="16"/>
      </w:rPr>
    </w:lvl>
    <w:lvl w:ilvl="3">
      <w:start w:val="1"/>
      <w:numFmt w:val="bullet"/>
      <w:lvlText w:val=""/>
      <w:lvlJc w:val="left"/>
      <w:pPr>
        <w:tabs>
          <w:tab w:val="num" w:pos="1680"/>
        </w:tabs>
        <w:ind w:left="1680" w:hanging="420"/>
      </w:pPr>
      <w:rPr>
        <w:rFonts w:ascii="Wingdings" w:hAnsi="Wingdings" w:cs="Wingdings" w:hint="default"/>
      </w:rPr>
    </w:lvl>
    <w:lvl w:ilvl="4">
      <w:start w:val="1"/>
      <w:numFmt w:val="bullet"/>
      <w:lvlText w:val=""/>
      <w:lvlJc w:val="left"/>
      <w:pPr>
        <w:tabs>
          <w:tab w:val="num" w:pos="2100"/>
        </w:tabs>
        <w:ind w:left="2100" w:hanging="420"/>
      </w:pPr>
      <w:rPr>
        <w:rFonts w:ascii="Wingdings" w:hAnsi="Wingdings" w:cs="Wingdings" w:hint="default"/>
      </w:rPr>
    </w:lvl>
    <w:lvl w:ilvl="5">
      <w:start w:val="1"/>
      <w:numFmt w:val="bullet"/>
      <w:lvlText w:val=""/>
      <w:lvlJc w:val="left"/>
      <w:pPr>
        <w:tabs>
          <w:tab w:val="num" w:pos="2520"/>
        </w:tabs>
        <w:ind w:left="2520" w:hanging="420"/>
      </w:pPr>
      <w:rPr>
        <w:rFonts w:ascii="Wingdings" w:hAnsi="Wingdings" w:cs="Wingdings" w:hint="default"/>
      </w:rPr>
    </w:lvl>
    <w:lvl w:ilvl="6">
      <w:start w:val="1"/>
      <w:numFmt w:val="bullet"/>
      <w:lvlText w:val=""/>
      <w:lvlJc w:val="left"/>
      <w:pPr>
        <w:tabs>
          <w:tab w:val="num" w:pos="2940"/>
        </w:tabs>
        <w:ind w:left="2940" w:hanging="420"/>
      </w:pPr>
      <w:rPr>
        <w:rFonts w:ascii="Wingdings" w:hAnsi="Wingdings" w:cs="Wingdings" w:hint="default"/>
      </w:rPr>
    </w:lvl>
    <w:lvl w:ilvl="7">
      <w:start w:val="1"/>
      <w:numFmt w:val="bullet"/>
      <w:lvlText w:val=""/>
      <w:lvlJc w:val="left"/>
      <w:pPr>
        <w:tabs>
          <w:tab w:val="num" w:pos="3360"/>
        </w:tabs>
        <w:ind w:left="3360" w:hanging="420"/>
      </w:pPr>
      <w:rPr>
        <w:rFonts w:ascii="Wingdings" w:hAnsi="Wingdings" w:cs="Wingdings" w:hint="default"/>
      </w:rPr>
    </w:lvl>
    <w:lvl w:ilvl="8">
      <w:start w:val="1"/>
      <w:numFmt w:val="bullet"/>
      <w:lvlText w:val=""/>
      <w:lvlJc w:val="left"/>
      <w:pPr>
        <w:tabs>
          <w:tab w:val="num" w:pos="3780"/>
        </w:tabs>
        <w:ind w:left="3780" w:hanging="420"/>
      </w:pPr>
      <w:rPr>
        <w:rFonts w:ascii="Wingdings" w:hAnsi="Wingdings" w:cs="Wingdings" w:hint="default"/>
      </w:rPr>
    </w:lvl>
  </w:abstractNum>
  <w:abstractNum w:abstractNumId="12">
    <w:nsid w:val="13A674F3"/>
    <w:multiLevelType w:val="hybridMultilevel"/>
    <w:tmpl w:val="04DAA2B6"/>
    <w:lvl w:ilvl="0">
      <w:start w:val="1"/>
      <w:numFmt w:val="bullet"/>
      <w:pStyle w:val="NotesTextListinTable"/>
      <w:lvlText w:val=""/>
      <w:lvlJc w:val="left"/>
      <w:pPr>
        <w:tabs>
          <w:tab w:val="num" w:pos="454"/>
        </w:tabs>
        <w:ind w:left="454" w:hanging="284"/>
      </w:pPr>
      <w:rPr>
        <w:rFonts w:ascii="Wingdings" w:hAnsi="Wingdings" w:hint="default"/>
        <w:color w:val="auto"/>
        <w:spacing w:val="0"/>
        <w:w w:val="100"/>
        <w:position w:val="1"/>
        <w:sz w:val="13"/>
        <w:szCs w:val="13"/>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pStyle w:val="NotesTextListinTableSub"/>
      <w:lvlText w:val="−"/>
      <w:lvlJc w:val="left"/>
      <w:pPr>
        <w:tabs>
          <w:tab w:val="num" w:pos="738"/>
        </w:tabs>
        <w:ind w:left="738" w:hanging="284"/>
      </w:pPr>
      <w:rPr>
        <w:rFonts w:ascii="Times New Roman" w:hAnsi="Times New Roman" w:cs="Times New Roman" w:hint="default"/>
        <w:color w:val="auto"/>
        <w:spacing w:val="0"/>
        <w:w w:val="100"/>
        <w:position w:val="1"/>
        <w:sz w:val="13"/>
        <w:szCs w:val="13"/>
      </w:rPr>
    </w:lvl>
    <w:lvl w:ilvl="8" w:tentative="1">
      <w:start w:val="1"/>
      <w:numFmt w:val="bullet"/>
      <w:lvlText w:val=""/>
      <w:lvlJc w:val="left"/>
      <w:pPr>
        <w:tabs>
          <w:tab w:val="num" w:pos="3780"/>
        </w:tabs>
        <w:ind w:left="3780" w:hanging="420"/>
      </w:pPr>
      <w:rPr>
        <w:rFonts w:ascii="Wingdings" w:hAnsi="Wingdings" w:hint="default"/>
      </w:rPr>
    </w:lvl>
  </w:abstractNum>
  <w:abstractNum w:abstractNumId="13">
    <w:nsid w:val="14B10542"/>
    <w:multiLevelType w:val="multilevel"/>
    <w:tmpl w:val="3E44434C"/>
    <w:lvl w:ilvl="0">
      <w:start w:val="1"/>
      <w:numFmt w:val="decimal"/>
      <w:suff w:val="nothing"/>
      <w:lvlText w:val="%1 "/>
      <w:lvlJc w:val="left"/>
      <w:pPr>
        <w:ind w:left="-1"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1"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0"/>
        </w:tabs>
        <w:ind w:left="1700"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8"/>
        </w:tabs>
        <w:ind w:left="2268"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0"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0" w:firstLine="0"/>
      </w:pPr>
      <w:rPr>
        <w:rFonts w:ascii="Times New Roman" w:eastAsia="黑体" w:hAnsi="Times New Roman" w:hint="default"/>
        <w:b/>
        <w:bCs/>
        <w:i w:val="0"/>
        <w:iCs w:val="0"/>
        <w:color w:val="auto"/>
        <w:sz w:val="21"/>
        <w:szCs w:val="21"/>
      </w:rPr>
    </w:lvl>
  </w:abstractNum>
  <w:abstractNum w:abstractNumId="14">
    <w:nsid w:val="171657A1"/>
    <w:multiLevelType w:val="multilevel"/>
    <w:tmpl w:val="C83423D0"/>
    <w:lvl w:ilvl="0">
      <w:start w:val="1"/>
      <w:numFmt w:val="decimal"/>
      <w:pStyle w:val="Heading1"/>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2"/>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3"/>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lvlRestart w:val="1"/>
      <w:pStyle w:val="Heading4"/>
      <w:suff w:val="nothing"/>
      <w:lvlText w:val="%1.%2.%3.%4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8"/>
        <w:szCs w:val="28"/>
        <w:vertAlign w:val="baseline"/>
      </w:rPr>
    </w:lvl>
    <w:lvl w:ilvl="4">
      <w:start w:val="1"/>
      <w:numFmt w:val="decimal"/>
      <w:lvlRestart w:val="1"/>
      <w:pStyle w:val="Heading5"/>
      <w:suff w:val="nothing"/>
      <w:lvlText w:val="%1.%2.%3.%4.%5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4"/>
        <w:szCs w:val="24"/>
        <w:vertAlign w:val="baseline"/>
      </w:rPr>
    </w:lvl>
    <w:lvl w:ilvl="5">
      <w:start w:val="1"/>
      <w:numFmt w:val="none"/>
      <w:pStyle w:val="BlockLabel"/>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6">
      <w:start w:val="1"/>
      <w:numFmt w:val="decimal"/>
      <w:pStyle w:val="Step"/>
      <w:lvlText w:val="Step %7"/>
      <w:lvlJc w:val="right"/>
      <w:pPr>
        <w:tabs>
          <w:tab w:val="num" w:pos="1701"/>
        </w:tabs>
        <w:ind w:left="1701" w:hanging="159"/>
      </w:pPr>
      <w:rPr>
        <w:rFonts w:ascii="Book Antiqua" w:hAnsi="Book Antiqua" w:cs="Times New Roman" w:hint="default"/>
        <w:b/>
        <w:bCs/>
        <w:i w:val="0"/>
        <w:iCs w:val="0"/>
        <w:color w:val="auto"/>
        <w:sz w:val="21"/>
        <w:szCs w:val="21"/>
      </w:rPr>
    </w:lvl>
    <w:lvl w:ilvl="7">
      <w:start w:val="1"/>
      <w:numFmt w:val="decimal"/>
      <w:lvlRestart w:val="1"/>
      <w:pStyle w:val="FigureDescription"/>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pStyle w:val="TableDescription"/>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5">
    <w:nsid w:val="23B92005"/>
    <w:multiLevelType w:val="hybridMultilevel"/>
    <w:tmpl w:val="F5E05ACC"/>
    <w:lvl w:ilvl="0">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6">
    <w:nsid w:val="26CA56B6"/>
    <w:multiLevelType w:val="multilevel"/>
    <w:tmpl w:val="F2D698BC"/>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7">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8">
    <w:nsid w:val="41C973A7"/>
    <w:multiLevelType w:val="hybridMultilevel"/>
    <w:tmpl w:val="FE2CA48E"/>
    <w:lvl w:ilvl="0">
      <w:start w:val="1"/>
      <w:numFmt w:val="decimal"/>
      <w:lvlRestart w:val="1"/>
      <w:pStyle w:val="FigureDescriptioninPreface"/>
      <w:suff w:val="space"/>
      <w:lvlText w:val="Figure %1"/>
      <w:lvlJc w:val="left"/>
      <w:pPr>
        <w:ind w:left="1701" w:firstLine="0"/>
      </w:pPr>
      <w:rPr>
        <w:rFonts w:ascii="Times New Roman" w:hAnsi="Times New Roman" w:cs="Book Antiqua" w:hint="default"/>
        <w:b/>
        <w:bCs/>
        <w:i w:val="0"/>
        <w:iCs w:val="0"/>
        <w:sz w:val="21"/>
        <w:szCs w:val="21"/>
        <w:u w:val="no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9">
    <w:nsid w:val="41C973A8"/>
    <w:multiLevelType w:val="hybridMultilevel"/>
    <w:tmpl w:val="FE2CA49E"/>
    <w:lvl w:ilvl="0">
      <w:start w:val="1"/>
      <w:numFmt w:val="decimal"/>
      <w:lvlRestart w:val="1"/>
      <w:pStyle w:val="TableDescriptioninPreface"/>
      <w:suff w:val="space"/>
      <w:lvlText w:val="Table %1"/>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0">
    <w:nsid w:val="42A046D5"/>
    <w:multiLevelType w:val="multilevel"/>
    <w:tmpl w:val="04090023"/>
    <w:styleLink w:val="ArticleSection"/>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42CF4755"/>
    <w:multiLevelType w:val="hybridMultilevel"/>
    <w:tmpl w:val="1A940A0E"/>
    <w:lvl w:ilvl="0">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spacing w:val="0"/>
        <w:w w:val="100"/>
        <w:position w:val="2"/>
        <w:sz w:val="16"/>
        <w:szCs w:val="16"/>
        <w:vertAlign w:val="baseli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2">
    <w:nsid w:val="463C3DB5"/>
    <w:multiLevelType w:val="hybridMultilevel"/>
    <w:tmpl w:val="2668DBD8"/>
    <w:lvl w:ilvl="0">
      <w:start w:val="1"/>
      <w:numFmt w:val="decimal"/>
      <w:pStyle w:val="ItemStepinTable"/>
      <w:lvlText w:val="%1."/>
      <w:lvlJc w:val="left"/>
      <w:pPr>
        <w:tabs>
          <w:tab w:val="num" w:pos="284"/>
        </w:tabs>
        <w:ind w:left="284" w:hanging="284"/>
      </w:pPr>
      <w:rPr>
        <w:rFonts w:hint="eastAsia"/>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3">
    <w:nsid w:val="48977F3D"/>
    <w:multiLevelType w:val="multilevel"/>
    <w:tmpl w:val="6324B2C4"/>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24">
    <w:nsid w:val="4DDA66D1"/>
    <w:multiLevelType w:val="multilevel"/>
    <w:tmpl w:val="825C87C0"/>
    <w:lvl w:ilvl="0">
      <w:start w:val="1"/>
      <w:numFmt w:val="upperLetter"/>
      <w:pStyle w:val="Appendixheading1"/>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5">
    <w:nsid w:val="59154C37"/>
    <w:multiLevelType w:val="multilevel"/>
    <w:tmpl w:val="C83423D0"/>
    <w:lvl w:ilvl="0">
      <w:start w:val="1"/>
      <w:numFmt w:val="upperLetter"/>
      <w:pStyle w:val="Heading7"/>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8"/>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9"/>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6">
    <w:nsid w:val="667437AC"/>
    <w:multiLevelType w:val="hybridMultilevel"/>
    <w:tmpl w:val="DE3895E6"/>
    <w:lvl w:ilvl="0">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start w:val="1"/>
      <w:numFmt w:val="bullet"/>
      <w:pStyle w:val="NotesTextListSub"/>
      <w:lvlText w:val="−"/>
      <w:lvlJc w:val="left"/>
      <w:pPr>
        <w:tabs>
          <w:tab w:val="num" w:pos="2643"/>
        </w:tabs>
        <w:ind w:left="2643" w:hanging="284"/>
      </w:pPr>
      <w:rPr>
        <w:rFonts w:ascii="Times New Roman" w:hAnsi="Times New Roman" w:cs="Times New Roman" w:hint="default"/>
        <w:sz w:val="16"/>
        <w:szCs w:val="16"/>
      </w:rPr>
    </w:lvl>
    <w:lvl w:ilvl="2">
      <w:start w:val="1"/>
      <w:numFmt w:val="bullet"/>
      <w:pStyle w:val="NotesTextListThird"/>
      <w:lvlText w:val=""/>
      <w:lvlJc w:val="left"/>
      <w:pPr>
        <w:tabs>
          <w:tab w:val="num" w:pos="2927"/>
        </w:tabs>
        <w:ind w:left="2927" w:hanging="284"/>
      </w:pPr>
      <w:rPr>
        <w:rFonts w:ascii="Wingdings" w:hAnsi="Wingdings" w:cs="Wingdings" w:hint="default"/>
        <w:sz w:val="16"/>
        <w:szCs w:val="16"/>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7">
    <w:nsid w:val="6C066CFC"/>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8">
    <w:nsid w:val="6E230785"/>
    <w:multiLevelType w:val="hybridMultilevel"/>
    <w:tmpl w:val="21BCB028"/>
    <w:lvl w:ilvl="0">
      <w:start w:val="1"/>
      <w:numFmt w:val="bullet"/>
      <w:pStyle w:val="ItemListinTable"/>
      <w:lvlText w:val=""/>
      <w:lvlJc w:val="left"/>
      <w:pPr>
        <w:tabs>
          <w:tab w:val="num" w:pos="170"/>
        </w:tabs>
        <w:ind w:left="170" w:hanging="170"/>
      </w:pPr>
      <w:rPr>
        <w:rFonts w:ascii="Wingdings" w:eastAsia="宋体" w:hAnsi="Wingdings" w:hint="default"/>
        <w:b w:val="0"/>
        <w:i w:val="0"/>
        <w:color w:val="auto"/>
        <w:position w:val="3"/>
        <w:sz w:val="13"/>
        <w:szCs w:val="13"/>
      </w:rPr>
    </w:lvl>
    <w:lvl w:ilvl="1">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start w:val="1"/>
      <w:numFmt w:val="bullet"/>
      <w:pStyle w:val="SubItemListinTableStep"/>
      <w:lvlText w:val=""/>
      <w:lvlJc w:val="left"/>
      <w:pPr>
        <w:tabs>
          <w:tab w:val="num" w:pos="568"/>
        </w:tabs>
        <w:ind w:left="568" w:hanging="284"/>
      </w:pPr>
      <w:rPr>
        <w:rFonts w:ascii="Wingdings" w:eastAsia="宋体" w:hAnsi="Wingdings" w:hint="default"/>
        <w:b w:val="0"/>
        <w:i w:val="0"/>
        <w:color w:val="auto"/>
        <w:position w:val="3"/>
        <w:sz w:val="13"/>
        <w:szCs w:val="13"/>
      </w:rPr>
    </w:lvl>
    <w:lvl w:ilvl="5">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entative="1">
      <w:start w:val="1"/>
      <w:numFmt w:val="bullet"/>
      <w:lvlText w:val=""/>
      <w:lvlJc w:val="left"/>
      <w:pPr>
        <w:tabs>
          <w:tab w:val="num" w:pos="3780"/>
        </w:tabs>
        <w:ind w:left="3780" w:hanging="420"/>
      </w:pPr>
      <w:rPr>
        <w:rFonts w:ascii="Wingdings" w:hAnsi="Wingdings" w:hint="default"/>
      </w:rPr>
    </w:lvl>
  </w:abstractNum>
  <w:abstractNum w:abstractNumId="29">
    <w:nsid w:val="70246594"/>
    <w:multiLevelType w:val="multilevel"/>
    <w:tmpl w:val="C83423D0"/>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30">
    <w:nsid w:val="78F51FEC"/>
    <w:multiLevelType w:val="multilevel"/>
    <w:tmpl w:val="697E5E88"/>
    <w:lvl w:ilvl="0">
      <w:start w:val="1"/>
      <w:numFmt w:val="upperLetter"/>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decimal"/>
      <w:lvlText w:val="Step %5"/>
      <w:lvlJc w:val="right"/>
      <w:pPr>
        <w:tabs>
          <w:tab w:val="num" w:pos="1701"/>
        </w:tabs>
        <w:ind w:left="1701" w:hanging="159"/>
      </w:pPr>
      <w:rPr>
        <w:rFonts w:ascii="Book Antiqua" w:hAnsi="Book Antiqua" w:cs="Times New Roman" w:hint="default"/>
        <w:b/>
        <w:bCs/>
        <w:i w:val="0"/>
        <w:iCs w:val="0"/>
        <w:sz w:val="21"/>
        <w:szCs w:val="21"/>
        <w:u w:val="none"/>
      </w:rPr>
    </w:lvl>
    <w:lvl w:ilvl="5">
      <w:start w:val="1"/>
      <w:numFmt w:val="decimal"/>
      <w:lvlText w:val="%6."/>
      <w:lvlJc w:val="left"/>
      <w:pPr>
        <w:tabs>
          <w:tab w:val="num" w:pos="2126"/>
        </w:tabs>
        <w:ind w:left="2126" w:hanging="425"/>
      </w:pPr>
      <w:rPr>
        <w:rFonts w:ascii="Times New Roman" w:hAnsi="Times New Roman" w:cs="Times New Roman" w:hint="default"/>
        <w:b w:val="0"/>
        <w:bCs/>
        <w:i w:val="0"/>
        <w:iCs w:val="0"/>
        <w:color w:val="auto"/>
        <w:sz w:val="21"/>
        <w:szCs w:val="21"/>
      </w:rPr>
    </w:lvl>
    <w:lvl w:ilvl="6">
      <w:start w:val="1"/>
      <w:numFmt w:val="decimal"/>
      <w:lvlRestart w:val="1"/>
      <w:suff w:val="space"/>
      <w:lvlText w:val="Figure %1-%7"/>
      <w:lvlJc w:val="left"/>
      <w:pPr>
        <w:ind w:left="1701" w:firstLine="0"/>
      </w:pPr>
      <w:rPr>
        <w:rFonts w:ascii="Times New Roman" w:hAnsi="Times New Roman" w:cs="Book Antiqua" w:hint="default"/>
        <w:b/>
        <w:bCs/>
        <w:i w:val="0"/>
        <w:iCs w:val="0"/>
        <w:sz w:val="21"/>
        <w:szCs w:val="21"/>
        <w:u w:val="none"/>
      </w:rPr>
    </w:lvl>
    <w:lvl w:ilvl="7">
      <w:start w:val="1"/>
      <w:numFmt w:val="decimal"/>
      <w:lvlRestart w:val="1"/>
      <w:suff w:val="space"/>
      <w:lvlText w:val="Tabl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none"/>
      <w:suff w:val="nothing"/>
      <w:lvlJc w:val="left"/>
      <w:pPr>
        <w:ind w:left="0" w:firstLine="0"/>
      </w:pPr>
      <w:rPr>
        <w:rFonts w:ascii="Book Antiqua" w:eastAsia="宋体" w:hAnsi="Book Antiqua" w:hint="default"/>
        <w:b/>
        <w:bCs/>
        <w:i w:val="0"/>
        <w:iCs w:val="0"/>
        <w:color w:val="000000"/>
        <w:sz w:val="28"/>
        <w:szCs w:val="28"/>
      </w:rPr>
    </w:lvl>
  </w:abstractNum>
  <w:abstractNum w:abstractNumId="31">
    <w:nsid w:val="7C533DDE"/>
    <w:multiLevelType w:val="multilevel"/>
    <w:tmpl w:val="1A940A0E"/>
    <w:lvl w:ilvl="0">
      <w:start w:val="1"/>
      <w:numFmt w:val="decimal"/>
      <w:pStyle w:val="ItemStep"/>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SubItemStep"/>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start w:val="1"/>
      <w:numFmt w:val="lowerRoman"/>
      <w:pStyle w:val="ThirdLevelItemStep"/>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start w:val="1"/>
      <w:numFmt w:val="decimal"/>
      <w:pStyle w:val="FourthLevelItemStep"/>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start w:val="1"/>
      <w:numFmt w:val="bullet"/>
      <w:lvlText w:val=""/>
      <w:lvlJc w:val="left"/>
      <w:pPr>
        <w:tabs>
          <w:tab w:val="num" w:pos="1260"/>
        </w:tabs>
        <w:ind w:left="1260" w:hanging="420"/>
      </w:pPr>
      <w:rPr>
        <w:rFonts w:ascii="Wingdings" w:hAnsi="Wingdings" w:hint="default"/>
      </w:rPr>
    </w:lvl>
    <w:lvl w:ilvl="5">
      <w:start w:val="1"/>
      <w:numFmt w:val="bullet"/>
      <w:lvlText w:val=""/>
      <w:lvlJc w:val="left"/>
      <w:pPr>
        <w:tabs>
          <w:tab w:val="num" w:pos="1680"/>
        </w:tabs>
        <w:ind w:left="1680" w:hanging="420"/>
      </w:pPr>
      <w:rPr>
        <w:rFonts w:ascii="Wingdings" w:hAnsi="Wingdings" w:hint="default"/>
      </w:rPr>
    </w:lvl>
    <w:lvl w:ilvl="6">
      <w:start w:val="1"/>
      <w:numFmt w:val="bullet"/>
      <w:lvlText w:val=""/>
      <w:lvlJc w:val="left"/>
      <w:pPr>
        <w:tabs>
          <w:tab w:val="num" w:pos="2100"/>
        </w:tabs>
        <w:ind w:left="2100" w:hanging="420"/>
      </w:pPr>
      <w:rPr>
        <w:rFonts w:ascii="Wingdings" w:hAnsi="Wingdings" w:hint="default"/>
      </w:rPr>
    </w:lvl>
    <w:lvl w:ilvl="7">
      <w:start w:val="1"/>
      <w:numFmt w:val="bullet"/>
      <w:lvlText w:val=""/>
      <w:lvlJc w:val="left"/>
      <w:pPr>
        <w:tabs>
          <w:tab w:val="num" w:pos="2520"/>
        </w:tabs>
        <w:ind w:left="2520" w:hanging="420"/>
      </w:pPr>
      <w:rPr>
        <w:rFonts w:ascii="Wingdings" w:hAnsi="Wingdings" w:hint="default"/>
      </w:rPr>
    </w:lvl>
    <w:lvl w:ilvl="8">
      <w:start w:val="1"/>
      <w:numFmt w:val="decimal"/>
      <w:lvlRestart w:val="0"/>
      <w:pStyle w:val="ItemStepinTable"/>
      <w:lvlText w:val="%9."/>
      <w:lvlJc w:val="left"/>
      <w:pPr>
        <w:tabs>
          <w:tab w:val="num" w:pos="284"/>
        </w:tabs>
        <w:ind w:left="284" w:hanging="284"/>
      </w:pPr>
      <w:rPr>
        <w:rFonts w:hint="eastAsia"/>
      </w:rPr>
    </w:lvl>
  </w:abstractNum>
  <w:abstractNum w:abstractNumId="32">
    <w:nsid w:val="7F773C36"/>
    <w:multiLevelType w:val="hybridMultilevel"/>
    <w:tmpl w:val="2CB47D37"/>
    <w:lvl w:ilvl="0">
      <w:start w:val="1"/>
      <w:numFmt w:val="decimal"/>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NotesTextStepSub"/>
      <w:lvlText w:val="%2."/>
      <w:lvlJc w:val="left"/>
      <w:pPr>
        <w:tabs>
          <w:tab w:val="num" w:pos="2643"/>
        </w:tabs>
        <w:ind w:left="2643" w:hanging="284"/>
      </w:pPr>
      <w:rPr>
        <w:rFonts w:ascii="Times New Roman" w:hAnsi="Times New Roman" w:cs="Book Antiqua" w:hint="default"/>
        <w:b w:val="0"/>
        <w:bCs/>
        <w:i w:val="0"/>
        <w:iCs w:val="0"/>
        <w:sz w:val="21"/>
        <w:szCs w:val="21"/>
        <w:u w:val="none"/>
      </w:rPr>
    </w:lvl>
    <w:lvl w:ilvl="2">
      <w:start w:val="1"/>
      <w:numFmt w:val="lowerRoman"/>
      <w:pStyle w:val="NotesTextStepThird"/>
      <w:lvlText w:val="%3."/>
      <w:lvlJc w:val="left"/>
      <w:pPr>
        <w:tabs>
          <w:tab w:val="num" w:pos="2927"/>
        </w:tabs>
        <w:ind w:left="2927" w:hanging="284"/>
      </w:pPr>
      <w:rPr>
        <w:rFonts w:ascii="Times New Roman" w:hAnsi="Times New Roman" w:cs="Book Antiqua" w:hint="default"/>
        <w:b w:val="0"/>
        <w:bCs/>
        <w:i w:val="0"/>
        <w:iCs w:val="0"/>
        <w:sz w:val="21"/>
        <w:szCs w:val="21"/>
        <w:u w:val="none"/>
      </w:rPr>
    </w:lvl>
    <w:lvl w:ilvl="3">
      <w:start w:val="1"/>
      <w:numFmt w:val="lowerLetter"/>
      <w:pStyle w:val="NotesTextStepinTableSub"/>
      <w:lvlText w:val="%4."/>
      <w:lvlJc w:val="left"/>
      <w:pPr>
        <w:tabs>
          <w:tab w:val="num" w:pos="738"/>
        </w:tabs>
        <w:ind w:left="738" w:hanging="284"/>
      </w:pPr>
      <w:rPr>
        <w:rFonts w:ascii="Times New Roman" w:hAnsi="Times New Roman" w:cs="Book Antiqua" w:hint="default"/>
        <w:b w:val="0"/>
        <w:bCs/>
        <w:i w:val="0"/>
        <w:iCs w:val="0"/>
        <w:sz w:val="21"/>
        <w:szCs w:val="21"/>
        <w:u w:val="none"/>
      </w:rPr>
    </w:lvl>
    <w:lvl w:ilvl="4" w:tentative="1">
      <w:start w:val="1"/>
      <w:numFmt w:val="bullet"/>
      <w:lvlText w:val=""/>
      <w:lvlJc w:val="left"/>
      <w:pPr>
        <w:tabs>
          <w:tab w:val="num" w:pos="1260"/>
        </w:tabs>
        <w:ind w:left="1260" w:hanging="420"/>
      </w:pPr>
      <w:rPr>
        <w:rFonts w:ascii="Wingdings" w:hAnsi="Wingdings" w:hint="default"/>
      </w:rPr>
    </w:lvl>
    <w:lvl w:ilvl="5" w:tentative="1">
      <w:start w:val="1"/>
      <w:numFmt w:val="bullet"/>
      <w:lvlText w:val=""/>
      <w:lvlJc w:val="left"/>
      <w:pPr>
        <w:tabs>
          <w:tab w:val="num" w:pos="1680"/>
        </w:tabs>
        <w:ind w:left="1680" w:hanging="420"/>
      </w:pPr>
      <w:rPr>
        <w:rFonts w:ascii="Wingdings" w:hAnsi="Wingdings" w:hint="default"/>
      </w:rPr>
    </w:lvl>
    <w:lvl w:ilvl="6">
      <w:start w:val="1"/>
      <w:numFmt w:val="lowerLetter"/>
      <w:pStyle w:val="NotesTextStepinTableSub"/>
      <w:lvlText w:val="%2."/>
      <w:lvlJc w:val="left"/>
      <w:pPr>
        <w:tabs>
          <w:tab w:val="num" w:pos="738"/>
        </w:tabs>
        <w:ind w:left="738" w:hanging="284"/>
      </w:pPr>
      <w:rPr>
        <w:rFonts w:ascii="Times New Roman" w:hAnsi="Times New Roman" w:cs="Book Antiqua" w:hint="default"/>
        <w:color w:val="auto"/>
        <w:spacing w:val="0"/>
        <w:w w:val="100"/>
        <w:position w:val="1"/>
        <w:sz w:val="18"/>
        <w:szCs w:val="18"/>
      </w:rPr>
    </w:lvl>
    <w:lvl w:ilvl="7" w:tentative="1">
      <w:start w:val="1"/>
      <w:numFmt w:val="bullet"/>
      <w:lvlText w:val=""/>
      <w:lvlJc w:val="left"/>
      <w:pPr>
        <w:tabs>
          <w:tab w:val="num" w:pos="2520"/>
        </w:tabs>
        <w:ind w:left="2520" w:hanging="420"/>
      </w:pPr>
      <w:rPr>
        <w:rFonts w:ascii="Wingdings" w:hAnsi="Wingdings" w:hint="default"/>
      </w:rPr>
    </w:lvl>
    <w:lvl w:ilvl="8">
      <w:start w:val="1"/>
      <w:numFmt w:val="decimal"/>
      <w:lvlRestart w:val="0"/>
      <w:lvlText w:val="%9."/>
      <w:lvlJc w:val="left"/>
      <w:pPr>
        <w:tabs>
          <w:tab w:val="num" w:pos="284"/>
        </w:tabs>
        <w:ind w:left="284" w:hanging="284"/>
      </w:pPr>
      <w:rPr>
        <w:rFonts w:hint="eastAsia"/>
      </w:rPr>
    </w:lvl>
  </w:abstractNum>
  <w:num w:numId="1">
    <w:abstractNumId w:val="11"/>
  </w:num>
  <w:num w:numId="2">
    <w:abstractNumId w:val="14"/>
  </w:num>
  <w:num w:numId="3">
    <w:abstractNumId w:val="26"/>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20"/>
  </w:num>
  <w:num w:numId="15">
    <w:abstractNumId w:val="17"/>
  </w:num>
  <w:num w:numId="16">
    <w:abstractNumId w:val="27"/>
  </w:num>
  <w:num w:numId="17">
    <w:abstractNumId w:val="22"/>
  </w:num>
  <w:num w:numId="18">
    <w:abstractNumId w:val="28"/>
  </w:num>
  <w:num w:numId="19">
    <w:abstractNumId w:val="21"/>
  </w:num>
  <w:num w:numId="20">
    <w:abstractNumId w:val="12"/>
  </w:num>
  <w:num w:numId="21">
    <w:abstractNumId w:val="15"/>
  </w:num>
  <w:num w:numId="22">
    <w:abstractNumId w:val="23"/>
  </w:num>
  <w:num w:numId="23">
    <w:abstractNumId w:val="31"/>
  </w:num>
  <w:num w:numId="24">
    <w:abstractNumId w:val="13"/>
  </w:num>
  <w:num w:numId="25">
    <w:abstractNumId w:val="10"/>
  </w:num>
  <w:num w:numId="26">
    <w:abstractNumId w:val="16"/>
  </w:num>
  <w:num w:numId="27">
    <w:abstractNumId w:val="25"/>
  </w:num>
  <w:num w:numId="28">
    <w:abstractNumId w:val="29"/>
  </w:num>
  <w:num w:numId="29">
    <w:abstractNumId w:val="24"/>
  </w:num>
  <w:num w:numId="30">
    <w:abstractNumId w:val="24"/>
  </w:num>
  <w:num w:numId="31">
    <w:abstractNumId w:val="28"/>
  </w:num>
  <w:num w:numId="32">
    <w:abstractNumId w:val="24"/>
  </w:num>
  <w:num w:numId="33">
    <w:abstractNumId w:val="24"/>
  </w:num>
  <w:num w:numId="34">
    <w:abstractNumId w:val="24"/>
  </w:num>
  <w:num w:numId="35">
    <w:abstractNumId w:val="24"/>
  </w:num>
  <w:num w:numId="36">
    <w:abstractNumId w:val="24"/>
  </w:num>
  <w:num w:numId="37">
    <w:abstractNumId w:val="30"/>
  </w:num>
  <w:num w:numId="38">
    <w:abstractNumId w:val="32"/>
  </w:num>
  <w:num w:numId="39">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8"/>
  </w:num>
  <w:num w:numId="42">
    <w:abstractNumId w:val="19"/>
  </w:num>
  <w:num w:numId="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formsDesign/>
  <w:defaultTabStop w:val="420"/>
  <w:evenAndOddHeaders/>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Word2002TableStyleRules/>
    <w:doNotUseIndentAsNumberingTabStop/>
    <w:autofitToFirstFixedWidthCell/>
    <w:splitPgBreakAndParaMark/>
    <w:doNotVertAlignCellWithSp/>
    <w:doNotVertAlignInTxbx/>
  </w:compat>
  <w:rsids>
    <w:rsidRoot w:val="00000000"/>
  </w:rsids>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15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itle" w:uiPriority="10" w:qFormat="1"/>
    <w:lsdException w:name="Default Paragraph Font" w:semiHidden="1" w:uiPriority="1" w:unhideWhenUsed="1"/>
    <w:lsdException w:name="Subtitle" w:uiPriority="11" w:qFormat="1"/>
    <w:lsdException w:name="Strong" w:uiPriority="22"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025A"/>
    <w:pPr>
      <w:topLinePunct/>
      <w:adjustRightInd w:val="0"/>
      <w:snapToGrid w:val="0"/>
      <w:spacing w:before="160" w:after="160" w:line="240" w:lineRule="atLeast"/>
      <w:ind w:left="1701"/>
    </w:pPr>
    <w:rPr>
      <w:rFonts w:cs="Arial"/>
      <w:kern w:val="2"/>
      <w:sz w:val="21"/>
      <w:szCs w:val="21"/>
      <w:lang w:val="en-US" w:eastAsia="zh-CN" w:bidi="ar-SA"/>
    </w:rPr>
  </w:style>
  <w:style w:type="paragraph" w:styleId="Heading1">
    <w:name w:val="heading 1"/>
    <w:basedOn w:val="Normal"/>
    <w:next w:val="Heading2"/>
    <w:qFormat/>
    <w:rsid w:val="009502FF"/>
    <w:pPr>
      <w:keepNext/>
      <w:numPr>
        <w:numId w:val="2"/>
      </w:numPr>
      <w:pBdr>
        <w:bottom w:val="single" w:sz="12" w:space="1" w:color="auto"/>
      </w:pBdr>
      <w:spacing w:before="1600" w:after="800"/>
      <w:jc w:val="right"/>
      <w:outlineLvl w:val="0"/>
    </w:pPr>
    <w:rPr>
      <w:rFonts w:ascii="Book Antiqua" w:eastAsia="黑体" w:hAnsi="Book Antiqua" w:cs="Book Antiqua"/>
      <w:b/>
      <w:bCs/>
      <w:sz w:val="44"/>
      <w:szCs w:val="44"/>
    </w:rPr>
  </w:style>
  <w:style w:type="paragraph" w:styleId="Heading2">
    <w:name w:val="heading 2"/>
    <w:basedOn w:val="Normal"/>
    <w:next w:val="Heading3"/>
    <w:qFormat/>
    <w:rsid w:val="009502FF"/>
    <w:pPr>
      <w:keepNext/>
      <w:keepLines/>
      <w:numPr>
        <w:ilvl w:val="1"/>
        <w:numId w:val="2"/>
      </w:numPr>
      <w:spacing w:before="600"/>
      <w:outlineLvl w:val="1"/>
    </w:pPr>
    <w:rPr>
      <w:rFonts w:ascii="Book Antiqua" w:eastAsia="黑体" w:hAnsi="Book Antiqua" w:cs="Book Antiqua"/>
      <w:b/>
      <w:bCs/>
      <w:noProof/>
      <w:kern w:val="0"/>
      <w:sz w:val="36"/>
      <w:szCs w:val="36"/>
      <w:lang w:eastAsia="en-US"/>
    </w:rPr>
  </w:style>
  <w:style w:type="paragraph" w:styleId="Heading3">
    <w:name w:val="heading 3"/>
    <w:basedOn w:val="Normal"/>
    <w:next w:val="Normal"/>
    <w:qFormat/>
    <w:rsid w:val="009502FF"/>
    <w:pPr>
      <w:keepNext/>
      <w:keepLines/>
      <w:numPr>
        <w:ilvl w:val="2"/>
        <w:numId w:val="2"/>
      </w:numPr>
      <w:spacing w:before="200"/>
      <w:outlineLvl w:val="2"/>
    </w:pPr>
    <w:rPr>
      <w:rFonts w:ascii="Book Antiqua" w:eastAsia="黑体" w:hAnsi="Book Antiqua" w:cs="宋体"/>
      <w:b/>
      <w:noProof/>
      <w:kern w:val="0"/>
      <w:sz w:val="32"/>
      <w:szCs w:val="32"/>
    </w:rPr>
  </w:style>
  <w:style w:type="paragraph" w:styleId="Heading4">
    <w:name w:val="heading 4"/>
    <w:basedOn w:val="Normal"/>
    <w:next w:val="Normal"/>
    <w:qFormat/>
    <w:rsid w:val="009502FF"/>
    <w:pPr>
      <w:keepNext/>
      <w:keepLines/>
      <w:numPr>
        <w:ilvl w:val="3"/>
        <w:numId w:val="2"/>
      </w:numPr>
      <w:spacing w:before="200"/>
      <w:outlineLvl w:val="3"/>
    </w:pPr>
    <w:rPr>
      <w:rFonts w:ascii="Book Antiqua" w:eastAsia="黑体" w:hAnsi="Book Antiqua" w:cs="宋体"/>
      <w:b/>
      <w:noProof/>
      <w:kern w:val="0"/>
      <w:sz w:val="28"/>
      <w:szCs w:val="28"/>
    </w:rPr>
  </w:style>
  <w:style w:type="paragraph" w:styleId="Heading5">
    <w:name w:val="heading 5"/>
    <w:basedOn w:val="Normal"/>
    <w:next w:val="Normal"/>
    <w:qFormat/>
    <w:rsid w:val="00176DF9"/>
    <w:pPr>
      <w:keepNext/>
      <w:keepLines/>
      <w:numPr>
        <w:ilvl w:val="4"/>
        <w:numId w:val="2"/>
      </w:numPr>
      <w:spacing w:before="200"/>
      <w:outlineLvl w:val="4"/>
    </w:pPr>
    <w:rPr>
      <w:rFonts w:ascii="Book Antiqua" w:eastAsia="黑体" w:hAnsi="Book Antiqua" w:cs="宋体"/>
      <w:b/>
      <w:noProof/>
      <w:kern w:val="0"/>
      <w:sz w:val="24"/>
      <w:szCs w:val="24"/>
    </w:rPr>
  </w:style>
  <w:style w:type="paragraph" w:styleId="Heading6">
    <w:name w:val="heading 6"/>
    <w:basedOn w:val="Normal"/>
    <w:next w:val="Normal"/>
    <w:qFormat/>
    <w:rsid w:val="00176DF9"/>
    <w:pPr>
      <w:keepNext/>
      <w:keepLines/>
      <w:numPr>
        <w:ilvl w:val="8"/>
        <w:numId w:val="36"/>
      </w:numPr>
      <w:spacing w:before="240" w:after="64" w:line="320" w:lineRule="atLeast"/>
      <w:outlineLvl w:val="5"/>
    </w:pPr>
    <w:rPr>
      <w:rFonts w:ascii="Arial" w:eastAsia="黑体" w:hAnsi="Arial" w:cs="Times New Roman"/>
      <w:b/>
      <w:bCs/>
    </w:rPr>
  </w:style>
  <w:style w:type="paragraph" w:styleId="Heading7">
    <w:name w:val="heading 7"/>
    <w:basedOn w:val="Heading1"/>
    <w:next w:val="Heading8"/>
    <w:qFormat/>
    <w:rsid w:val="00F613A7"/>
    <w:pPr>
      <w:keepLines/>
      <w:numPr>
        <w:numId w:val="27"/>
      </w:numPr>
      <w:pBdr>
        <w:bottom w:val="single" w:sz="4" w:space="1" w:color="auto"/>
      </w:pBdr>
      <w:topLinePunct w:val="0"/>
      <w:outlineLvl w:val="6"/>
    </w:pPr>
    <w:rPr>
      <w:bCs w:val="0"/>
    </w:rPr>
  </w:style>
  <w:style w:type="paragraph" w:styleId="Heading8">
    <w:name w:val="heading 8"/>
    <w:basedOn w:val="Heading2"/>
    <w:next w:val="Heading9"/>
    <w:qFormat/>
    <w:rsid w:val="00F613A7"/>
    <w:pPr>
      <w:numPr>
        <w:ilvl w:val="1"/>
        <w:numId w:val="27"/>
      </w:numPr>
      <w:topLinePunct w:val="0"/>
      <w:spacing w:before="200"/>
      <w:outlineLvl w:val="7"/>
    </w:pPr>
    <w:rPr>
      <w:rFonts w:cs="Times New Roman"/>
    </w:rPr>
  </w:style>
  <w:style w:type="paragraph" w:styleId="Heading9">
    <w:name w:val="heading 9"/>
    <w:basedOn w:val="Heading3"/>
    <w:next w:val="Normal"/>
    <w:qFormat/>
    <w:rsid w:val="00F613A7"/>
    <w:pPr>
      <w:numPr>
        <w:ilvl w:val="2"/>
        <w:numId w:val="27"/>
      </w:numPr>
      <w:topLinePunct w:val="0"/>
      <w:outlineLvl w:val="8"/>
    </w:pPr>
    <w:rPr>
      <w:rFonts w:cs="Times New Roma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InTitlePage">
    <w:name w:val="Normal In Title Page"/>
    <w:rsid w:val="00243C13"/>
    <w:rPr>
      <w:rFonts w:ascii="Arial" w:hAnsi="Arial" w:cs="Arial"/>
      <w:kern w:val="2"/>
      <w:sz w:val="22"/>
      <w:szCs w:val="22"/>
      <w:lang w:val="en-US" w:eastAsia="zh-CN" w:bidi="ar-SA"/>
    </w:rPr>
  </w:style>
  <w:style w:type="paragraph" w:customStyle="1" w:styleId="TableTextInTitlePage">
    <w:name w:val="Table Text In Title Page"/>
    <w:rsid w:val="00243C13"/>
    <w:pPr>
      <w:autoSpaceDE w:val="0"/>
      <w:autoSpaceDN w:val="0"/>
      <w:spacing w:before="80" w:after="80"/>
      <w:jc w:val="left"/>
    </w:pPr>
    <w:rPr>
      <w:rFonts w:ascii="Arial" w:hAnsi="Arial" w:cs="Arial"/>
      <w:kern w:val="0"/>
      <w:sz w:val="20"/>
      <w:szCs w:val="20"/>
    </w:rPr>
  </w:style>
  <w:style w:type="paragraph" w:customStyle="1" w:styleId="Appendixheading1">
    <w:name w:val="Appendix heading 1"/>
    <w:basedOn w:val="Heading1"/>
    <w:next w:val="2"/>
    <w:rsid w:val="00F613A7"/>
    <w:pPr>
      <w:keepLines/>
      <w:numPr>
        <w:numId w:val="36"/>
      </w:numPr>
      <w:pBdr>
        <w:bottom w:val="single" w:sz="12" w:space="1" w:color="auto"/>
      </w:pBdr>
      <w:topLinePunct w:val="0"/>
      <w:outlineLvl w:val="0"/>
    </w:pPr>
    <w:rPr>
      <w:bCs w:val="0"/>
    </w:rPr>
  </w:style>
  <w:style w:type="paragraph" w:customStyle="1" w:styleId="2">
    <w:name w:val="附录 标题 2"/>
    <w:basedOn w:val="Heading2"/>
    <w:next w:val="3"/>
    <w:rsid w:val="00F613A7"/>
    <w:pPr>
      <w:numPr>
        <w:ilvl w:val="1"/>
        <w:numId w:val="36"/>
      </w:numPr>
      <w:topLinePunct w:val="0"/>
      <w:spacing w:before="200"/>
      <w:outlineLvl w:val="1"/>
    </w:pPr>
    <w:rPr>
      <w:rFonts w:cs="Times New Roman"/>
    </w:rPr>
  </w:style>
  <w:style w:type="paragraph" w:customStyle="1" w:styleId="3">
    <w:name w:val="附录 标题 3"/>
    <w:basedOn w:val="Heading3"/>
    <w:next w:val="4"/>
    <w:rsid w:val="00F613A7"/>
    <w:pPr>
      <w:numPr>
        <w:ilvl w:val="2"/>
        <w:numId w:val="36"/>
      </w:numPr>
      <w:topLinePunct w:val="0"/>
      <w:outlineLvl w:val="2"/>
    </w:pPr>
    <w:rPr>
      <w:rFonts w:cs="Times New Roman"/>
    </w:rPr>
  </w:style>
  <w:style w:type="paragraph" w:customStyle="1" w:styleId="4">
    <w:name w:val="附录 标题 4"/>
    <w:basedOn w:val="Heading4"/>
    <w:next w:val="5"/>
    <w:rsid w:val="00F613A7"/>
    <w:pPr>
      <w:numPr>
        <w:ilvl w:val="3"/>
        <w:numId w:val="36"/>
      </w:numPr>
      <w:topLinePunct w:val="0"/>
      <w:outlineLvl w:val="3"/>
    </w:pPr>
    <w:rPr>
      <w:rFonts w:cs="Times New Roman"/>
    </w:rPr>
  </w:style>
  <w:style w:type="paragraph" w:customStyle="1" w:styleId="5">
    <w:name w:val="附录 标题 5"/>
    <w:basedOn w:val="Heading5"/>
    <w:next w:val="Normal"/>
    <w:rsid w:val="00F613A7"/>
    <w:pPr>
      <w:numPr>
        <w:ilvl w:val="4"/>
        <w:numId w:val="36"/>
      </w:numPr>
      <w:topLinePunct w:val="0"/>
      <w:outlineLvl w:val="4"/>
    </w:pPr>
    <w:rPr>
      <w:rFonts w:cs="Times New Roman"/>
    </w:rPr>
  </w:style>
  <w:style w:type="paragraph" w:customStyle="1" w:styleId="BlockLabel">
    <w:name w:val="Block Label"/>
    <w:basedOn w:val="Normal"/>
    <w:next w:val="Normal"/>
    <w:rsid w:val="009502FF"/>
    <w:pPr>
      <w:keepNext/>
      <w:keepLines/>
      <w:numPr>
        <w:ilvl w:val="5"/>
        <w:numId w:val="2"/>
      </w:numPr>
      <w:spacing w:before="300" w:after="80"/>
    </w:pPr>
    <w:rPr>
      <w:rFonts w:ascii="Book Antiqua" w:eastAsia="黑体" w:hAnsi="Book Antiqua" w:cs="Book Antiqua"/>
      <w:b/>
      <w:bCs/>
      <w:kern w:val="0"/>
      <w:sz w:val="26"/>
      <w:szCs w:val="26"/>
    </w:rPr>
  </w:style>
  <w:style w:type="paragraph" w:customStyle="1" w:styleId="Subsection">
    <w:name w:val="Subsection"/>
    <w:basedOn w:val="Normal"/>
    <w:next w:val="Normal"/>
    <w:rsid w:val="009502FF"/>
    <w:pPr>
      <w:keepNext/>
      <w:keepLines/>
      <w:numPr>
        <w:ilvl w:val="5"/>
        <w:numId w:val="2"/>
      </w:numPr>
      <w:spacing w:before="300" w:after="80"/>
    </w:pPr>
    <w:rPr>
      <w:rFonts w:ascii="Book Antiqua" w:eastAsia="黑体" w:hAnsi="Book Antiqua" w:cs="Book Antiqua"/>
      <w:b/>
      <w:bCs/>
      <w:kern w:val="0"/>
      <w:sz w:val="22"/>
      <w:szCs w:val="22"/>
    </w:rPr>
  </w:style>
  <w:style w:type="paragraph" w:customStyle="1" w:styleId="BlockLabelWithSixNumber">
    <w:name w:val="Block Label With Six Number"/>
    <w:basedOn w:val="Normal"/>
    <w:next w:val="Normal"/>
    <w:pPr>
      <w:keepNext/>
      <w:keepLines/>
      <w:spacing w:before="300" w:after="80"/>
      <w:ind w:left="0"/>
      <w:outlineLvl w:val="5"/>
    </w:pPr>
    <w:rPr>
      <w:rFonts w:ascii="Book Antiqua" w:eastAsia="黑体" w:hAnsi="Book Antiqua" w:cs="Book Antiqua"/>
      <w:b/>
      <w:bCs/>
      <w:kern w:val="0"/>
      <w:sz w:val="24"/>
      <w:szCs w:val="24"/>
    </w:rPr>
  </w:style>
  <w:style w:type="paragraph" w:customStyle="1" w:styleId="BlockLabelWithSevenNumber">
    <w:name w:val="Block Label With Seven Number"/>
    <w:basedOn w:val="Normal"/>
    <w:next w:val="Normal"/>
    <w:pPr>
      <w:keepNext/>
      <w:keepLines/>
      <w:spacing w:before="300" w:after="80"/>
      <w:ind w:left="0"/>
      <w:outlineLvl w:val="6"/>
    </w:pPr>
    <w:rPr>
      <w:rFonts w:ascii="Book Antiqua" w:eastAsia="黑体" w:hAnsi="Book Antiqua" w:cs="Book Antiqua"/>
      <w:b/>
      <w:bCs/>
      <w:kern w:val="0"/>
      <w:sz w:val="24"/>
      <w:szCs w:val="24"/>
    </w:rPr>
  </w:style>
  <w:style w:type="paragraph" w:customStyle="1" w:styleId="BlockLabelInTitlePage">
    <w:name w:val="Block Label In Title Page"/>
    <w:next w:val="Normal"/>
    <w:pPr>
      <w:keepNext/>
      <w:keepLines/>
      <w:spacing w:before="200" w:after="160"/>
    </w:pPr>
    <w:rPr>
      <w:rFonts w:ascii="Book Antiqua" w:hAnsi="Book Antiqua"/>
      <w:b/>
      <w:sz w:val="26"/>
      <w:szCs w:val="26"/>
    </w:rPr>
  </w:style>
  <w:style w:type="paragraph" w:customStyle="1" w:styleId="CopyrightDeclaration1">
    <w:name w:val="Copyright Declaration1"/>
    <w:rsid w:val="00F613A7"/>
    <w:pPr>
      <w:spacing w:before="80" w:after="80"/>
    </w:pPr>
    <w:rPr>
      <w:rFonts w:ascii="Arial" w:eastAsia="黑体" w:hAnsi="Arial" w:cs="Arial"/>
      <w:b/>
      <w:bCs/>
      <w:noProof/>
      <w:sz w:val="48"/>
      <w:szCs w:val="48"/>
      <w:lang w:val="en-US" w:eastAsia="zh-CN" w:bidi="ar-SA"/>
    </w:rPr>
  </w:style>
  <w:style w:type="paragraph" w:customStyle="1" w:styleId="BlockLabelinAppendix">
    <w:name w:val="Block Label in Appendix"/>
    <w:basedOn w:val="BlockLabel"/>
    <w:next w:val="Normal"/>
    <w:rsid w:val="00F613A7"/>
    <w:pPr>
      <w:numPr>
        <w:numId w:val="41"/>
      </w:numPr>
      <w:topLinePunct w:val="0"/>
    </w:pPr>
    <w:rPr>
      <w:rFonts w:eastAsia="Arial"/>
    </w:rPr>
  </w:style>
  <w:style w:type="paragraph" w:customStyle="1" w:styleId="Cover1">
    <w:name w:val="Cover 1"/>
    <w:basedOn w:val="Normal"/>
    <w:rsid w:val="00F613A7"/>
    <w:pPr>
      <w:widowControl w:val="0"/>
      <w:kinsoku w:val="0"/>
      <w:overflowPunct w:val="0"/>
      <w:topLinePunct w:val="0"/>
      <w:autoSpaceDE w:val="0"/>
      <w:autoSpaceDN w:val="0"/>
      <w:spacing w:before="80" w:after="80"/>
      <w:ind w:left="0"/>
    </w:pPr>
    <w:rPr>
      <w:rFonts w:ascii="Arial" w:hAnsi="Arial"/>
      <w:b/>
      <w:bCs/>
      <w:noProof/>
      <w:kern w:val="0"/>
      <w:sz w:val="40"/>
      <w:szCs w:val="40"/>
    </w:rPr>
  </w:style>
  <w:style w:type="paragraph" w:customStyle="1" w:styleId="Cover3">
    <w:name w:val="Cover 3"/>
    <w:basedOn w:val="Normal"/>
    <w:autoRedefine/>
    <w:rsid w:val="003615C4"/>
    <w:pPr>
      <w:widowControl w:val="0"/>
      <w:topLinePunct w:val="0"/>
      <w:spacing w:before="80" w:after="80"/>
      <w:ind w:left="0"/>
    </w:pPr>
    <w:rPr>
      <w:rFonts w:ascii="Arial" w:eastAsia="Arial" w:hAnsi="Arial"/>
      <w:bCs/>
      <w:spacing w:val="-4"/>
      <w:sz w:val="22"/>
      <w:szCs w:val="22"/>
    </w:rPr>
  </w:style>
  <w:style w:type="paragraph" w:customStyle="1" w:styleId="Figure">
    <w:name w:val="Figure"/>
    <w:basedOn w:val="Normal"/>
    <w:next w:val="Normal"/>
    <w:rsid w:val="006D5FB7"/>
    <w:pPr>
      <w:keepNext/>
    </w:pPr>
  </w:style>
  <w:style w:type="paragraph" w:customStyle="1" w:styleId="FigureDescription">
    <w:name w:val="Figure Description"/>
    <w:next w:val="Figure"/>
    <w:rsid w:val="009502FF"/>
    <w:pPr>
      <w:keepNext/>
      <w:numPr>
        <w:ilvl w:val="7"/>
        <w:numId w:val="2"/>
      </w:numPr>
      <w:adjustRightInd w:val="0"/>
      <w:snapToGrid w:val="0"/>
      <w:spacing w:before="320" w:after="80" w:line="240" w:lineRule="atLeast"/>
    </w:pPr>
    <w:rPr>
      <w:rFonts w:eastAsia="黑体" w:cs="Arial"/>
      <w:spacing w:val="-4"/>
      <w:kern w:val="2"/>
      <w:sz w:val="21"/>
      <w:szCs w:val="21"/>
      <w:lang w:val="en-US" w:eastAsia="zh-CN" w:bidi="ar-SA"/>
    </w:rPr>
  </w:style>
  <w:style w:type="paragraph" w:customStyle="1" w:styleId="FigureText">
    <w:name w:val="Figure Text"/>
    <w:rsid w:val="00EA1E0F"/>
    <w:pPr>
      <w:widowControl w:val="0"/>
      <w:adjustRightInd w:val="0"/>
      <w:snapToGrid w:val="0"/>
      <w:spacing w:line="240" w:lineRule="atLeast"/>
    </w:pPr>
    <w:rPr>
      <w:rFonts w:cs="Arial"/>
      <w:sz w:val="18"/>
      <w:szCs w:val="18"/>
      <w:lang w:val="en-US" w:eastAsia="en-US" w:bidi="ar-SA"/>
    </w:rPr>
  </w:style>
  <w:style w:type="paragraph" w:customStyle="1" w:styleId="HeadingLeft">
    <w:name w:val="Heading Left"/>
    <w:basedOn w:val="Normal"/>
    <w:rsid w:val="003C13A3"/>
    <w:pPr>
      <w:spacing w:before="0" w:after="0"/>
      <w:ind w:left="0"/>
    </w:pPr>
    <w:rPr>
      <w:rFonts w:ascii="Times New Roman" w:eastAsia="宋体"/>
      <w:sz w:val="20"/>
      <w:szCs w:val="20"/>
    </w:rPr>
  </w:style>
  <w:style w:type="paragraph" w:customStyle="1" w:styleId="HeadingRight">
    <w:name w:val="Heading Right"/>
    <w:basedOn w:val="Normal"/>
    <w:rsid w:val="003C13A3"/>
    <w:pPr>
      <w:spacing w:before="0" w:after="0"/>
      <w:ind w:left="0"/>
      <w:jc w:val="right"/>
    </w:pPr>
    <w:rPr>
      <w:rFonts w:ascii="Times New Roman" w:cs="Times New Roman"/>
      <w:sz w:val="20"/>
      <w:szCs w:val="20"/>
    </w:rPr>
  </w:style>
  <w:style w:type="paragraph" w:customStyle="1" w:styleId="Heading1NoNumber">
    <w:name w:val="Heading1 No Number"/>
    <w:basedOn w:val="Heading1"/>
    <w:next w:val="Normal"/>
    <w:rsid w:val="007D4CBD"/>
    <w:pPr>
      <w:pageBreakBefore/>
      <w:numPr>
        <w:numId w:val="0"/>
      </w:numPr>
    </w:pPr>
    <w:rPr>
      <w:rFonts w:eastAsia="宋体"/>
    </w:rPr>
  </w:style>
  <w:style w:type="paragraph" w:customStyle="1" w:styleId="Heading2NoNumber">
    <w:name w:val="Heading2 No Number"/>
    <w:basedOn w:val="Heading2"/>
    <w:next w:val="Normal"/>
    <w:rsid w:val="007D4CBD"/>
    <w:pPr>
      <w:numPr>
        <w:ilvl w:val="0"/>
        <w:numId w:val="0"/>
      </w:numPr>
      <w:outlineLvl w:val="9"/>
    </w:pPr>
    <w:rPr>
      <w:rFonts w:eastAsia="宋体"/>
    </w:rPr>
  </w:style>
  <w:style w:type="paragraph" w:customStyle="1" w:styleId="Heading2NoNumber4lite">
    <w:name w:val="Heading2 No Number 4 lite"/>
    <w:basedOn w:val="Heading2"/>
    <w:next w:val="Normal"/>
    <w:rsid w:val="007D4CBD"/>
    <w:pPr>
      <w:numPr>
        <w:ilvl w:val="0"/>
        <w:numId w:val="0"/>
      </w:numPr>
    </w:pPr>
    <w:rPr>
      <w:rFonts w:eastAsia="宋体"/>
    </w:rPr>
  </w:style>
  <w:style w:type="paragraph" w:customStyle="1" w:styleId="Heading3NoNumber">
    <w:name w:val="Heading3 No Number"/>
    <w:basedOn w:val="Heading3"/>
    <w:next w:val="Normal"/>
    <w:rsid w:val="007D4CBD"/>
    <w:pPr>
      <w:numPr>
        <w:ilvl w:val="0"/>
        <w:numId w:val="0"/>
      </w:numPr>
    </w:pPr>
    <w:rPr>
      <w:rFonts w:eastAsia="宋体" w:cs="Book Antiqua"/>
    </w:rPr>
  </w:style>
  <w:style w:type="paragraph" w:customStyle="1" w:styleId="Heading4NoNumber">
    <w:name w:val="Heading4 No Number"/>
    <w:basedOn w:val="Normal"/>
    <w:semiHidden/>
    <w:rsid w:val="007D4CBD"/>
    <w:pPr>
      <w:keepNext/>
      <w:spacing w:before="200"/>
    </w:pPr>
    <w:rPr>
      <w:b/>
      <w:bCs/>
      <w:spacing w:val="-4"/>
    </w:rPr>
  </w:style>
  <w:style w:type="paragraph" w:customStyle="1" w:styleId="AboutThisChapter">
    <w:name w:val="About This Chapter"/>
    <w:basedOn w:val="Heading2NoNumber"/>
    <w:next w:val="Normal"/>
    <w:rsid w:val="009E2329"/>
    <w:pPr>
      <w:spacing w:after="560"/>
    </w:pPr>
  </w:style>
  <w:style w:type="numbering" w:styleId="111111">
    <w:name w:val="Outline List 2"/>
    <w:basedOn w:val="NoList"/>
    <w:semiHidden/>
    <w:rsid w:val="005327F2"/>
    <w:pPr>
      <w:numPr>
        <w:numId w:val="15"/>
      </w:numPr>
    </w:pPr>
  </w:style>
  <w:style w:type="paragraph" w:customStyle="1" w:styleId="ItemList">
    <w:name w:val="Item List"/>
    <w:rsid w:val="009502FF"/>
    <w:pPr>
      <w:numPr>
        <w:numId w:val="19"/>
      </w:numPr>
      <w:adjustRightInd w:val="0"/>
      <w:snapToGrid w:val="0"/>
      <w:spacing w:before="80" w:after="80" w:line="240" w:lineRule="atLeast"/>
    </w:pPr>
    <w:rPr>
      <w:rFonts w:cs="Arial"/>
      <w:kern w:val="2"/>
      <w:sz w:val="21"/>
      <w:szCs w:val="21"/>
      <w:lang w:val="en-US" w:eastAsia="zh-CN" w:bidi="ar-SA"/>
    </w:rPr>
  </w:style>
  <w:style w:type="paragraph" w:customStyle="1" w:styleId="ItemListinTable">
    <w:name w:val="Item List in Table"/>
    <w:basedOn w:val="Normal"/>
    <w:rsid w:val="00D1025A"/>
    <w:pPr>
      <w:widowControl w:val="0"/>
      <w:numPr>
        <w:numId w:val="18"/>
      </w:numPr>
      <w:tabs>
        <w:tab w:val="clear" w:pos="170"/>
        <w:tab w:val="left" w:pos="284"/>
      </w:tabs>
      <w:spacing w:before="80" w:after="80"/>
      <w:ind w:left="284" w:hanging="284"/>
    </w:pPr>
    <w:rPr>
      <w:kern w:val="0"/>
    </w:rPr>
  </w:style>
  <w:style w:type="paragraph" w:customStyle="1" w:styleId="SubItemListinTable">
    <w:name w:val="Sub Item List in Table"/>
    <w:basedOn w:val="Normal"/>
    <w:pPr>
      <w:numPr>
        <w:ilvl w:val="2"/>
        <w:numId w:val="31"/>
      </w:numPr>
      <w:spacing w:before="80" w:after="80"/>
    </w:pPr>
  </w:style>
  <w:style w:type="paragraph" w:customStyle="1" w:styleId="SubItemStepinTable">
    <w:name w:val="Sub Item Step in Table"/>
    <w:pPr>
      <w:numPr>
        <w:ilvl w:val="1"/>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StepinTableList">
    <w:name w:val="Sub Item Step in Table List"/>
    <w:pPr>
      <w:numPr>
        <w:ilvl w:val="3"/>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ListinTableStep">
    <w:name w:val="Sub Item List in Table Step"/>
    <w:basedOn w:val="Normal"/>
    <w:pPr>
      <w:numPr>
        <w:ilvl w:val="4"/>
        <w:numId w:val="31"/>
      </w:numPr>
      <w:spacing w:before="80" w:after="80"/>
    </w:pPr>
  </w:style>
  <w:style w:type="paragraph" w:customStyle="1" w:styleId="ItemListText">
    <w:name w:val="Item List Text"/>
    <w:rsid w:val="00B86119"/>
    <w:pPr>
      <w:adjustRightInd w:val="0"/>
      <w:snapToGrid w:val="0"/>
      <w:spacing w:before="80" w:after="80" w:line="240" w:lineRule="atLeast"/>
      <w:ind w:left="2126"/>
    </w:pPr>
    <w:rPr>
      <w:kern w:val="2"/>
      <w:sz w:val="21"/>
      <w:szCs w:val="21"/>
      <w:lang w:val="en-US" w:eastAsia="zh-CN" w:bidi="ar-SA"/>
    </w:rPr>
  </w:style>
  <w:style w:type="paragraph" w:customStyle="1" w:styleId="ItemStep">
    <w:name w:val="Item Step"/>
    <w:rsid w:val="009502FF"/>
    <w:pPr>
      <w:numPr>
        <w:ilvl w:val="0"/>
        <w:numId w:val="23"/>
      </w:numPr>
      <w:adjustRightInd w:val="0"/>
      <w:snapToGrid w:val="0"/>
      <w:spacing w:before="80" w:after="80" w:line="240" w:lineRule="atLeast"/>
    </w:pPr>
    <w:rPr>
      <w:rFonts w:cs="Arial"/>
      <w:sz w:val="21"/>
      <w:szCs w:val="21"/>
      <w:lang w:val="en-US" w:eastAsia="zh-CN" w:bidi="ar-SA"/>
    </w:rPr>
  </w:style>
  <w:style w:type="paragraph" w:customStyle="1" w:styleId="SubItemStep">
    <w:name w:val="Sub Item Step"/>
    <w:pPr>
      <w:numPr>
        <w:ilvl w:val="1"/>
        <w:numId w:val="23"/>
      </w:numPr>
      <w:adjustRightInd w:val="0"/>
      <w:snapToGrid w:val="0"/>
      <w:spacing w:before="80" w:after="80" w:line="240" w:lineRule="atLeast"/>
    </w:pPr>
    <w:rPr>
      <w:rFonts w:cs="Arial"/>
      <w:sz w:val="21"/>
      <w:szCs w:val="21"/>
      <w:lang w:val="en-US" w:eastAsia="zh-CN" w:bidi="ar-SA"/>
    </w:rPr>
  </w:style>
  <w:style w:type="paragraph" w:customStyle="1" w:styleId="ThirdLevelItemStep">
    <w:name w:val="Third Level Item Step"/>
    <w:pPr>
      <w:numPr>
        <w:ilvl w:val="2"/>
        <w:numId w:val="23"/>
      </w:numPr>
      <w:adjustRightInd w:val="0"/>
      <w:snapToGrid w:val="0"/>
      <w:spacing w:before="80" w:after="80" w:line="240" w:lineRule="atLeast"/>
    </w:pPr>
    <w:rPr>
      <w:rFonts w:cs="Arial" w:hint="default"/>
      <w:sz w:val="21"/>
      <w:szCs w:val="21"/>
      <w:lang w:val="en-US" w:eastAsia="zh-CN" w:bidi="ar-SA"/>
    </w:rPr>
  </w:style>
  <w:style w:type="paragraph" w:customStyle="1" w:styleId="FourthLevelItemStep">
    <w:name w:val="Fourth Level Item Step"/>
    <w:pPr>
      <w:numPr>
        <w:ilvl w:val="3"/>
        <w:numId w:val="23"/>
      </w:numPr>
      <w:adjustRightInd w:val="0"/>
      <w:snapToGrid w:val="0"/>
      <w:spacing w:before="80" w:after="80" w:line="240" w:lineRule="atLeast"/>
    </w:pPr>
    <w:rPr>
      <w:rFonts w:cs="Arial" w:hint="default"/>
      <w:sz w:val="21"/>
      <w:szCs w:val="21"/>
      <w:lang w:val="en-US" w:eastAsia="zh-CN" w:bidi="ar-SA"/>
    </w:rPr>
  </w:style>
  <w:style w:type="paragraph" w:customStyle="1" w:styleId="ManualTitle1">
    <w:name w:val="Manual Title1"/>
    <w:semiHidden/>
    <w:rsid w:val="00446256"/>
    <w:rPr>
      <w:rFonts w:ascii="Arial" w:eastAsia="黑体" w:hAnsi="Arial"/>
      <w:noProof/>
      <w:sz w:val="30"/>
      <w:lang w:val="en-US" w:eastAsia="en-US" w:bidi="ar-SA"/>
    </w:rPr>
  </w:style>
  <w:style w:type="paragraph" w:customStyle="1" w:styleId="CAUTIONHeading">
    <w:name w:val="CAUTION Heading"/>
    <w:basedOn w:val="Normal"/>
    <w:rsid w:val="00046DA7"/>
    <w:pPr>
      <w:keepNext/>
      <w:pBdr>
        <w:top w:val="single" w:sz="12" w:space="4" w:color="auto"/>
      </w:pBdr>
      <w:spacing w:before="80" w:after="80"/>
    </w:pPr>
    <w:rPr>
      <w:rFonts w:ascii="Book Antiqua" w:eastAsia="黑体" w:hAnsi="Book Antiqua"/>
      <w:b/>
      <w:bCs/>
      <w:noProof/>
      <w:kern w:val="0"/>
      <w:position w:val="-6"/>
    </w:rPr>
  </w:style>
  <w:style w:type="paragraph" w:customStyle="1" w:styleId="NotesHeadinginTable">
    <w:name w:val="Notes Heading in Table"/>
    <w:next w:val="NotesTextinTable"/>
    <w:rsid w:val="003D07DD"/>
    <w:pPr>
      <w:keepNext/>
      <w:adjustRightInd w:val="0"/>
      <w:snapToGrid w:val="0"/>
      <w:spacing w:before="80" w:after="40" w:line="240" w:lineRule="atLeast"/>
    </w:pPr>
    <w:rPr>
      <w:rFonts w:eastAsia="黑体" w:cs="Arial"/>
      <w:b/>
      <w:bCs/>
      <w:kern w:val="2"/>
      <w:sz w:val="18"/>
      <w:szCs w:val="18"/>
      <w:lang w:val="en-US" w:eastAsia="zh-CN" w:bidi="ar-SA"/>
    </w:rPr>
  </w:style>
  <w:style w:type="paragraph" w:customStyle="1" w:styleId="CAUTIONText">
    <w:name w:val="CAUTION Text"/>
    <w:basedOn w:val="Normal"/>
    <w:rsid w:val="0048609F"/>
    <w:pPr>
      <w:keepLines/>
      <w:pBdr>
        <w:bottom w:val="single" w:sz="12" w:space="4" w:color="auto"/>
      </w:pBdr>
      <w:spacing w:before="80" w:after="80"/>
    </w:pPr>
    <w:rPr>
      <w:rFonts w:eastAsia="楷体_GB2312"/>
      <w:iCs/>
    </w:rPr>
  </w:style>
  <w:style w:type="paragraph" w:customStyle="1" w:styleId="NotesTextinTable">
    <w:name w:val="Notes Text in Table"/>
    <w:rsid w:val="00714DD5"/>
    <w:pPr>
      <w:widowControl w:val="0"/>
      <w:adjustRightInd w:val="0"/>
      <w:snapToGrid w:val="0"/>
      <w:spacing w:before="40" w:after="80" w:line="200" w:lineRule="atLeast"/>
      <w:ind w:left="170"/>
    </w:pPr>
    <w:rPr>
      <w:rFonts w:eastAsia="楷体_GB2312" w:cs="Arial"/>
      <w:iCs/>
      <w:kern w:val="2"/>
      <w:sz w:val="18"/>
      <w:szCs w:val="18"/>
      <w:lang w:val="en-US" w:eastAsia="zh-CN" w:bidi="ar-SA"/>
    </w:rPr>
  </w:style>
  <w:style w:type="paragraph" w:customStyle="1" w:styleId="CAUTIONTextList">
    <w:name w:val="CAUTION Text List"/>
    <w:basedOn w:val="CAUTIONText"/>
    <w:rsid w:val="0048609F"/>
    <w:pPr>
      <w:keepNext/>
      <w:numPr>
        <w:numId w:val="21"/>
      </w:numPr>
    </w:pPr>
  </w:style>
  <w:style w:type="table" w:customStyle="1" w:styleId="Table">
    <w:name w:val="Table"/>
    <w:basedOn w:val="TableProfessional"/>
    <w:rsid w:val="00B937D5"/>
    <w:pPr>
      <w:jc w:val="left"/>
    </w:pPr>
    <w:rPr>
      <w:rFonts w:cs="Arial"/>
      <w:lang w:bidi="ar-SA"/>
    </w:rPr>
    <w:tblPr>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cantSplit/>
    </w:trPr>
    <w:tblStylePr w:type="firstRow">
      <w:rPr>
        <w:b w:val="0"/>
        <w:bCs w:val="0"/>
        <w:i w:val="0"/>
        <w:iCs w:val="0"/>
        <w:color w:val="auto"/>
        <w:sz w:val="20"/>
        <w:szCs w:val="20"/>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paragraph" w:customStyle="1" w:styleId="ItemlistTextTD">
    <w:name w:val="Item list Text TD"/>
    <w:basedOn w:val="TerminalDisplay"/>
    <w:rsid w:val="00BA06CB"/>
    <w:pPr>
      <w:ind w:left="2126"/>
    </w:pPr>
    <w:rPr>
      <w:spacing w:val="-1"/>
    </w:rPr>
  </w:style>
  <w:style w:type="table" w:styleId="TableGrid">
    <w:name w:val="Table Grid"/>
    <w:basedOn w:val="TableNormal"/>
    <w:semiHidden/>
    <w:rsid w:val="0044625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ep">
    <w:name w:val="Step"/>
    <w:basedOn w:val="Normal"/>
    <w:rsid w:val="009502FF"/>
    <w:pPr>
      <w:numPr>
        <w:ilvl w:val="6"/>
        <w:numId w:val="2"/>
      </w:numPr>
    </w:pPr>
    <w:rPr>
      <w:snapToGrid w:val="0"/>
      <w:kern w:val="0"/>
    </w:rPr>
  </w:style>
  <w:style w:type="paragraph" w:customStyle="1" w:styleId="SubItemList">
    <w:name w:val="Sub Item List"/>
    <w:basedOn w:val="Normal"/>
    <w:rsid w:val="00027249"/>
    <w:pPr>
      <w:numPr>
        <w:numId w:val="1"/>
      </w:numPr>
      <w:spacing w:before="80" w:after="80"/>
    </w:pPr>
  </w:style>
  <w:style w:type="paragraph" w:customStyle="1" w:styleId="ThirdLevelItemList">
    <w:name w:val="Third Level Item List"/>
    <w:basedOn w:val="Normal"/>
    <w:rsid w:val="004E5A8A"/>
    <w:pPr>
      <w:numPr>
        <w:ilvl w:val="1"/>
        <w:numId w:val="1"/>
      </w:numPr>
      <w:spacing w:before="80" w:after="80"/>
    </w:pPr>
  </w:style>
  <w:style w:type="paragraph" w:customStyle="1" w:styleId="FourthLevelItemList">
    <w:name w:val="Fourth Level Item List"/>
    <w:basedOn w:val="Normal"/>
    <w:rsid w:val="004E5A8A"/>
    <w:pPr>
      <w:numPr>
        <w:ilvl w:val="2"/>
        <w:numId w:val="1"/>
      </w:numPr>
      <w:spacing w:before="80" w:after="80"/>
    </w:pPr>
  </w:style>
  <w:style w:type="paragraph" w:customStyle="1" w:styleId="SubItemListText">
    <w:name w:val="Sub Item List Text"/>
    <w:rsid w:val="00B86119"/>
    <w:pPr>
      <w:adjustRightInd w:val="0"/>
      <w:snapToGrid w:val="0"/>
      <w:spacing w:before="80" w:after="80" w:line="240" w:lineRule="atLeast"/>
      <w:ind w:left="2551"/>
    </w:pPr>
    <w:rPr>
      <w:kern w:val="2"/>
      <w:sz w:val="21"/>
      <w:szCs w:val="21"/>
      <w:lang w:val="en-US" w:eastAsia="zh-CN" w:bidi="ar-SA"/>
    </w:rPr>
  </w:style>
  <w:style w:type="paragraph" w:customStyle="1" w:styleId="ThirdLevelItemListText">
    <w:name w:val="Third Level Item List Text"/>
    <w:rsid w:val="00C41A41"/>
    <w:pPr>
      <w:adjustRightInd w:val="0"/>
      <w:snapToGrid w:val="0"/>
      <w:spacing w:before="80" w:after="80" w:line="240" w:lineRule="atLeast"/>
      <w:ind w:left="2976"/>
    </w:pPr>
    <w:rPr>
      <w:rFonts w:cs="Arial" w:hint="default"/>
      <w:kern w:val="2"/>
      <w:sz w:val="21"/>
      <w:szCs w:val="21"/>
      <w:lang w:val="en-US" w:eastAsia="zh-CN" w:bidi="ar-SA"/>
    </w:rPr>
  </w:style>
  <w:style w:type="paragraph" w:customStyle="1" w:styleId="FourthLevelItemListText">
    <w:name w:val="Fourth Level Item List Text"/>
    <w:rsid w:val="00C41A41"/>
    <w:pPr>
      <w:adjustRightInd w:val="0"/>
      <w:snapToGrid w:val="0"/>
      <w:spacing w:before="80" w:after="80" w:line="240" w:lineRule="atLeast"/>
      <w:ind w:left="3401"/>
    </w:pPr>
    <w:rPr>
      <w:rFonts w:cs="Arial" w:hint="default"/>
      <w:kern w:val="2"/>
      <w:sz w:val="21"/>
      <w:szCs w:val="21"/>
      <w:lang w:val="en-US" w:eastAsia="zh-CN" w:bidi="ar-SA"/>
    </w:rPr>
  </w:style>
  <w:style w:type="paragraph" w:styleId="Title">
    <w:name w:val="Title"/>
    <w:basedOn w:val="Normal"/>
    <w:semiHidden/>
    <w:qFormat/>
    <w:rsid w:val="009B2A47"/>
    <w:pPr>
      <w:spacing w:before="240" w:after="60"/>
      <w:jc w:val="center"/>
      <w:outlineLvl w:val="0"/>
    </w:pPr>
    <w:rPr>
      <w:rFonts w:ascii="Arial" w:hAnsi="Arial"/>
      <w:b/>
      <w:bCs/>
      <w:sz w:val="32"/>
      <w:szCs w:val="32"/>
    </w:rPr>
  </w:style>
  <w:style w:type="table" w:styleId="TableProfessional">
    <w:name w:val="Table Professional"/>
    <w:basedOn w:val="TableNormal"/>
    <w:semiHidden/>
    <w:rsid w:val="00446256"/>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Normal"/>
    <w:next w:val="Normal"/>
    <w:rsid w:val="001171CE"/>
    <w:pPr>
      <w:keepNext/>
      <w:numPr>
        <w:ilvl w:val="8"/>
        <w:numId w:val="2"/>
      </w:numPr>
      <w:spacing w:before="320" w:after="80"/>
    </w:pPr>
    <w:rPr>
      <w:rFonts w:eastAsia="黑体"/>
      <w:spacing w:val="-4"/>
    </w:rPr>
  </w:style>
  <w:style w:type="paragraph" w:customStyle="1" w:styleId="TableNote">
    <w:name w:val="Table Note"/>
    <w:basedOn w:val="Normal"/>
    <w:rsid w:val="0069173F"/>
    <w:pPr>
      <w:keepLines/>
      <w:spacing w:before="80" w:after="80"/>
    </w:pPr>
    <w:rPr>
      <w:color w:val="000000"/>
      <w:kern w:val="0"/>
      <w:sz w:val="18"/>
      <w:szCs w:val="18"/>
    </w:rPr>
  </w:style>
  <w:style w:type="paragraph" w:customStyle="1" w:styleId="TerminalDisplay">
    <w:name w:val="Terminal Display"/>
    <w:rsid w:val="0001481A"/>
    <w:pPr>
      <w:shd w:val="clear" w:color="auto" w:fill="F2F2F2"/>
      <w:adjustRightInd w:val="0"/>
      <w:snapToGrid w:val="0"/>
      <w:spacing w:line="240" w:lineRule="atLeast"/>
      <w:ind w:left="1701"/>
    </w:pPr>
    <w:rPr>
      <w:rFonts w:ascii="Courier New" w:hAnsi="Courier New" w:cs="Courier New"/>
      <w:snapToGrid w:val="0"/>
      <w:sz w:val="16"/>
      <w:szCs w:val="16"/>
      <w:lang w:val="en-US" w:eastAsia="zh-CN" w:bidi="ar-SA"/>
    </w:rPr>
  </w:style>
  <w:style w:type="paragraph" w:styleId="TOC1">
    <w:name w:val="toc 1"/>
    <w:basedOn w:val="Normal"/>
    <w:next w:val="Normal"/>
    <w:semiHidden/>
    <w:rsid w:val="00A82433"/>
    <w:pPr>
      <w:spacing w:after="80"/>
      <w:ind w:left="0"/>
    </w:pPr>
    <w:rPr>
      <w:rFonts w:ascii="Book Antiqua" w:hAnsi="Book Antiqua" w:cs="Book Antiqua"/>
      <w:b/>
      <w:bCs/>
      <w:sz w:val="24"/>
      <w:szCs w:val="24"/>
    </w:rPr>
  </w:style>
  <w:style w:type="paragraph" w:styleId="TOC2">
    <w:name w:val="toc 2"/>
    <w:basedOn w:val="Normal"/>
    <w:next w:val="Normal"/>
    <w:semiHidden/>
    <w:rsid w:val="00A82433"/>
    <w:pPr>
      <w:spacing w:before="80" w:after="80"/>
      <w:ind w:left="0"/>
    </w:pPr>
    <w:rPr>
      <w:noProof/>
      <w:sz w:val="20"/>
      <w:szCs w:val="20"/>
    </w:rPr>
  </w:style>
  <w:style w:type="paragraph" w:styleId="TOC3">
    <w:name w:val="toc 3"/>
    <w:basedOn w:val="Normal"/>
    <w:next w:val="Normal"/>
    <w:semiHidden/>
    <w:rsid w:val="00A82433"/>
    <w:pPr>
      <w:spacing w:before="80" w:after="80"/>
      <w:ind w:left="0"/>
    </w:pPr>
    <w:rPr>
      <w:noProof/>
      <w:sz w:val="20"/>
      <w:szCs w:val="20"/>
    </w:rPr>
  </w:style>
  <w:style w:type="paragraph" w:styleId="TOC4">
    <w:name w:val="toc 4"/>
    <w:basedOn w:val="Normal"/>
    <w:next w:val="Normal"/>
    <w:rsid w:val="00BB3B70"/>
    <w:pPr>
      <w:spacing w:before="80" w:after="80"/>
      <w:ind w:left="0"/>
    </w:pPr>
    <w:rPr>
      <w:sz w:val="20"/>
      <w:szCs w:val="20"/>
    </w:rPr>
  </w:style>
  <w:style w:type="paragraph" w:styleId="TOC5">
    <w:name w:val="toc 5"/>
    <w:basedOn w:val="Normal"/>
    <w:next w:val="Normal"/>
    <w:autoRedefine/>
    <w:semiHidden/>
    <w:rsid w:val="00446256"/>
    <w:pPr>
      <w:spacing w:before="80" w:after="80"/>
      <w:ind w:left="0"/>
    </w:pPr>
    <w:rPr>
      <w:noProof/>
      <w:sz w:val="20"/>
      <w:szCs w:val="20"/>
    </w:rPr>
  </w:style>
  <w:style w:type="paragraph" w:styleId="TOC6">
    <w:name w:val="toc 6"/>
    <w:basedOn w:val="Normal"/>
    <w:next w:val="Normal"/>
    <w:autoRedefine/>
    <w:semiHidden/>
    <w:rsid w:val="00446256"/>
    <w:pPr>
      <w:ind w:left="2100"/>
    </w:pPr>
    <w:rPr>
      <w:sz w:val="24"/>
    </w:rPr>
  </w:style>
  <w:style w:type="paragraph" w:styleId="TOC7">
    <w:name w:val="toc 7"/>
    <w:basedOn w:val="Normal"/>
    <w:next w:val="Normal"/>
    <w:autoRedefine/>
    <w:semiHidden/>
    <w:rsid w:val="00446256"/>
    <w:pPr>
      <w:ind w:left="2520"/>
    </w:pPr>
    <w:rPr>
      <w:sz w:val="24"/>
    </w:rPr>
  </w:style>
  <w:style w:type="paragraph" w:styleId="TOC8">
    <w:name w:val="toc 8"/>
    <w:basedOn w:val="Normal"/>
    <w:next w:val="Normal"/>
    <w:autoRedefine/>
    <w:semiHidden/>
    <w:rsid w:val="00446256"/>
    <w:pPr>
      <w:ind w:left="2940"/>
    </w:pPr>
    <w:rPr>
      <w:sz w:val="24"/>
    </w:rPr>
  </w:style>
  <w:style w:type="paragraph" w:styleId="TOC9">
    <w:name w:val="toc 9"/>
    <w:basedOn w:val="Normal"/>
    <w:next w:val="Normal"/>
    <w:autoRedefine/>
    <w:semiHidden/>
    <w:rsid w:val="00446256"/>
    <w:pPr>
      <w:ind w:left="3360"/>
    </w:pPr>
    <w:rPr>
      <w:sz w:val="24"/>
    </w:rPr>
  </w:style>
  <w:style w:type="paragraph" w:styleId="Index1">
    <w:name w:val="index 1"/>
    <w:next w:val="Normal"/>
    <w:rsid w:val="00F613A7"/>
    <w:pPr>
      <w:adjustRightInd w:val="0"/>
      <w:snapToGrid w:val="0"/>
    </w:pPr>
    <w:rPr>
      <w:rFonts w:cs="Arial"/>
      <w:kern w:val="2"/>
      <w:sz w:val="21"/>
      <w:szCs w:val="21"/>
      <w:lang w:val="en-US" w:eastAsia="zh-CN" w:bidi="ar-SA"/>
    </w:rPr>
  </w:style>
  <w:style w:type="paragraph" w:styleId="Index2">
    <w:name w:val="index 2"/>
    <w:next w:val="Normal"/>
    <w:rsid w:val="00F613A7"/>
    <w:pPr>
      <w:adjustRightInd w:val="0"/>
      <w:snapToGrid w:val="0"/>
      <w:ind w:left="284"/>
    </w:pPr>
    <w:rPr>
      <w:rFonts w:cs="Arial"/>
      <w:kern w:val="2"/>
      <w:sz w:val="21"/>
      <w:szCs w:val="21"/>
      <w:lang w:val="en-US" w:eastAsia="zh-CN" w:bidi="ar-SA"/>
    </w:rPr>
  </w:style>
  <w:style w:type="paragraph" w:styleId="Index3">
    <w:name w:val="index 3"/>
    <w:next w:val="Normal"/>
    <w:rsid w:val="00F613A7"/>
    <w:pPr>
      <w:adjustRightInd w:val="0"/>
      <w:snapToGrid w:val="0"/>
      <w:ind w:left="567"/>
    </w:pPr>
    <w:rPr>
      <w:rFonts w:cs="Arial"/>
      <w:kern w:val="2"/>
      <w:sz w:val="21"/>
      <w:szCs w:val="21"/>
      <w:lang w:val="en-US" w:eastAsia="zh-CN" w:bidi="ar-SA"/>
    </w:rPr>
  </w:style>
  <w:style w:type="paragraph" w:styleId="Index5">
    <w:name w:val="index 5"/>
    <w:basedOn w:val="Normal"/>
    <w:next w:val="Normal"/>
    <w:autoRedefine/>
    <w:semiHidden/>
    <w:rsid w:val="00446256"/>
    <w:pPr>
      <w:ind w:left="1050" w:hanging="210"/>
    </w:pPr>
    <w:rPr>
      <w:sz w:val="20"/>
      <w:szCs w:val="20"/>
    </w:rPr>
  </w:style>
  <w:style w:type="paragraph" w:styleId="Index6">
    <w:name w:val="index 6"/>
    <w:basedOn w:val="Normal"/>
    <w:next w:val="Normal"/>
    <w:autoRedefine/>
    <w:semiHidden/>
    <w:rsid w:val="00446256"/>
    <w:pPr>
      <w:ind w:left="1260" w:hanging="210"/>
    </w:pPr>
    <w:rPr>
      <w:sz w:val="20"/>
      <w:szCs w:val="20"/>
    </w:rPr>
  </w:style>
  <w:style w:type="paragraph" w:styleId="Index7">
    <w:name w:val="index 7"/>
    <w:basedOn w:val="Normal"/>
    <w:next w:val="Normal"/>
    <w:autoRedefine/>
    <w:semiHidden/>
    <w:rsid w:val="00446256"/>
    <w:pPr>
      <w:ind w:left="1470" w:hanging="210"/>
    </w:pPr>
    <w:rPr>
      <w:sz w:val="20"/>
      <w:szCs w:val="20"/>
    </w:rPr>
  </w:style>
  <w:style w:type="paragraph" w:styleId="Index8">
    <w:name w:val="index 8"/>
    <w:basedOn w:val="Normal"/>
    <w:next w:val="Normal"/>
    <w:autoRedefine/>
    <w:semiHidden/>
    <w:rsid w:val="00446256"/>
    <w:pPr>
      <w:ind w:left="1680" w:hanging="210"/>
    </w:pPr>
    <w:rPr>
      <w:sz w:val="20"/>
      <w:szCs w:val="20"/>
    </w:rPr>
  </w:style>
  <w:style w:type="paragraph" w:styleId="Index9">
    <w:name w:val="index 9"/>
    <w:basedOn w:val="Normal"/>
    <w:next w:val="Normal"/>
    <w:autoRedefine/>
    <w:semiHidden/>
    <w:rsid w:val="00446256"/>
    <w:pPr>
      <w:ind w:left="1890" w:hanging="210"/>
    </w:pPr>
    <w:rPr>
      <w:sz w:val="20"/>
      <w:szCs w:val="20"/>
    </w:rPr>
  </w:style>
  <w:style w:type="paragraph" w:styleId="TableofFigures">
    <w:name w:val="table of figures"/>
    <w:basedOn w:val="Normal"/>
    <w:next w:val="Normal"/>
    <w:semiHidden/>
    <w:rsid w:val="00A82433"/>
    <w:pPr>
      <w:spacing w:afterLines="50"/>
      <w:ind w:leftChars="300"/>
    </w:pPr>
    <w:rPr>
      <w:sz w:val="20"/>
      <w:szCs w:val="20"/>
    </w:rPr>
  </w:style>
  <w:style w:type="paragraph" w:styleId="DocumentMap">
    <w:name w:val="Document Map"/>
    <w:basedOn w:val="Normal"/>
    <w:semiHidden/>
    <w:rsid w:val="00AB5406"/>
    <w:pPr>
      <w:shd w:val="clear" w:color="auto" w:fill="000080"/>
    </w:pPr>
  </w:style>
  <w:style w:type="paragraph" w:styleId="Footer">
    <w:name w:val="footer"/>
    <w:basedOn w:val="HeadingLeft"/>
    <w:semiHidden/>
    <w:rsid w:val="00446256"/>
    <w:pPr>
      <w:spacing w:before="200" w:after="200"/>
      <w:jc w:val="center"/>
    </w:pPr>
    <w:rPr>
      <w:rFonts w:cs="Times New Roman"/>
      <w:b/>
      <w:bCs/>
      <w:sz w:val="22"/>
      <w:szCs w:val="22"/>
    </w:rPr>
  </w:style>
  <w:style w:type="paragraph" w:customStyle="1" w:styleId="TerminalDisplayinTable">
    <w:name w:val="Terminal Display in Table"/>
    <w:rsid w:val="00DA235C"/>
    <w:pPr>
      <w:widowControl w:val="0"/>
      <w:shd w:val="clear" w:color="auto" w:fill="F2F2F2"/>
      <w:adjustRightInd w:val="0"/>
      <w:snapToGrid w:val="0"/>
      <w:spacing w:before="80" w:after="80" w:line="240" w:lineRule="atLeast"/>
    </w:pPr>
    <w:rPr>
      <w:rFonts w:ascii="Courier New" w:hAnsi="Courier New" w:cs="Courier New"/>
      <w:snapToGrid w:val="0"/>
      <w:sz w:val="16"/>
      <w:szCs w:val="16"/>
      <w:lang w:val="en-US" w:eastAsia="zh-CN" w:bidi="ar-SA"/>
    </w:rPr>
  </w:style>
  <w:style w:type="paragraph" w:styleId="Header">
    <w:name w:val="header"/>
    <w:basedOn w:val="Normal"/>
    <w:semiHidden/>
    <w:rsid w:val="00450A20"/>
    <w:pPr>
      <w:tabs>
        <w:tab w:val="center" w:pos="4153"/>
        <w:tab w:val="right" w:pos="8306"/>
      </w:tabs>
      <w:spacing w:before="0" w:after="0"/>
      <w:ind w:left="0"/>
      <w:jc w:val="right"/>
    </w:pPr>
    <w:rPr>
      <w:sz w:val="18"/>
      <w:szCs w:val="18"/>
    </w:rPr>
  </w:style>
  <w:style w:type="character" w:styleId="Hyperlink">
    <w:name w:val="Hyperlink"/>
    <w:rsid w:val="004D5212"/>
    <w:rPr>
      <w:color w:val="0000FF"/>
      <w:u w:val="none"/>
    </w:rPr>
  </w:style>
  <w:style w:type="paragraph" w:customStyle="1" w:styleId="Cover2">
    <w:name w:val="Cover 2"/>
    <w:autoRedefine/>
    <w:rsid w:val="003615C4"/>
    <w:pPr>
      <w:adjustRightInd w:val="0"/>
      <w:snapToGrid w:val="0"/>
    </w:pPr>
    <w:rPr>
      <w:rFonts w:ascii="Arial" w:eastAsia="Arial" w:cs="Arial"/>
      <w:noProof/>
      <w:sz w:val="32"/>
      <w:szCs w:val="32"/>
      <w:lang w:val="en-US" w:eastAsia="en-US" w:bidi="ar-SA"/>
    </w:rPr>
  </w:style>
  <w:style w:type="paragraph" w:customStyle="1" w:styleId="CoverText">
    <w:name w:val="Cover Text"/>
    <w:autoRedefine/>
    <w:rsid w:val="003615C4"/>
    <w:pPr>
      <w:adjustRightInd w:val="0"/>
      <w:snapToGrid w:val="0"/>
      <w:spacing w:before="80" w:after="80" w:line="240" w:lineRule="atLeast"/>
      <w:jc w:val="both"/>
    </w:pPr>
    <w:rPr>
      <w:rFonts w:ascii="Arial" w:eastAsia="黑体" w:cs="Arial"/>
      <w:snapToGrid w:val="0"/>
      <w:lang w:val="en-US" w:eastAsia="zh-CN" w:bidi="ar-SA"/>
    </w:rPr>
  </w:style>
  <w:style w:type="paragraph" w:customStyle="1" w:styleId="Cover5">
    <w:name w:val="Cover 5"/>
    <w:basedOn w:val="Normal"/>
    <w:autoRedefine/>
    <w:rsid w:val="003615C4"/>
    <w:pPr>
      <w:widowControl w:val="0"/>
      <w:spacing w:before="0" w:after="0" w:line="240" w:lineRule="auto"/>
      <w:ind w:left="0"/>
    </w:pPr>
    <w:rPr>
      <w:rFonts w:ascii="Arial" w:eastAsia="黑体" w:hAnsi="Arial"/>
      <w:sz w:val="18"/>
      <w:szCs w:val="18"/>
    </w:rPr>
  </w:style>
  <w:style w:type="paragraph" w:customStyle="1" w:styleId="Cover4">
    <w:name w:val="Cover 4"/>
    <w:basedOn w:val="Normal"/>
    <w:rsid w:val="00F613A7"/>
    <w:pPr>
      <w:widowControl w:val="0"/>
      <w:topLinePunct w:val="0"/>
      <w:spacing w:before="0" w:after="0" w:line="240" w:lineRule="auto"/>
      <w:ind w:left="0"/>
    </w:pPr>
    <w:rPr>
      <w:rFonts w:ascii="Arial" w:eastAsia="黑体" w:hAnsi="Arial"/>
      <w:b/>
      <w:bCs/>
      <w:spacing w:val="-4"/>
      <w:sz w:val="21"/>
      <w:szCs w:val="21"/>
    </w:rPr>
  </w:style>
  <w:style w:type="numbering" w:styleId="1ai">
    <w:name w:val="Outline List 1"/>
    <w:basedOn w:val="NoList"/>
    <w:semiHidden/>
    <w:rsid w:val="005327F2"/>
    <w:pPr>
      <w:numPr>
        <w:numId w:val="16"/>
      </w:numPr>
    </w:pPr>
  </w:style>
  <w:style w:type="paragraph" w:customStyle="1" w:styleId="TableHeading">
    <w:name w:val="Table Heading"/>
    <w:basedOn w:val="Normal"/>
    <w:rsid w:val="00D1025A"/>
    <w:pPr>
      <w:widowControl w:val="0"/>
      <w:spacing w:before="80" w:after="80"/>
      <w:ind w:left="0"/>
    </w:pPr>
    <w:rPr>
      <w:rFonts w:ascii="Book Antiqua" w:eastAsia="黑体" w:hAnsi="Book Antiqua" w:cs="Book Antiqua"/>
      <w:b/>
      <w:bCs/>
      <w:snapToGrid w:val="0"/>
      <w:kern w:val="0"/>
    </w:rPr>
  </w:style>
  <w:style w:type="paragraph" w:customStyle="1" w:styleId="TableText">
    <w:name w:val="Table Text"/>
    <w:basedOn w:val="Normal"/>
    <w:rsid w:val="00D1025A"/>
    <w:pPr>
      <w:widowControl w:val="0"/>
      <w:spacing w:before="80" w:after="80"/>
      <w:ind w:left="0"/>
    </w:pPr>
    <w:rPr>
      <w:snapToGrid w:val="0"/>
      <w:kern w:val="0"/>
    </w:rPr>
  </w:style>
  <w:style w:type="paragraph" w:customStyle="1" w:styleId="HeadingMiddle">
    <w:name w:val="Heading Middle"/>
    <w:rsid w:val="00A05971"/>
    <w:pPr>
      <w:adjustRightInd w:val="0"/>
      <w:snapToGrid w:val="0"/>
      <w:spacing w:line="240" w:lineRule="atLeast"/>
      <w:jc w:val="center"/>
    </w:pPr>
    <w:rPr>
      <w:rFonts w:cs="Times New Roman"/>
      <w:snapToGrid w:val="0"/>
      <w:lang w:val="en-US" w:eastAsia="zh-CN" w:bidi="ar-SA"/>
    </w:rPr>
  </w:style>
  <w:style w:type="paragraph" w:styleId="Macro">
    <w:name w:val="macro"/>
    <w:semiHidden/>
    <w:rsid w:val="00CB6A0F"/>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ind w:left="1701"/>
    </w:pPr>
    <w:rPr>
      <w:rFonts w:ascii="Courier New" w:hAnsi="Courier New" w:cs="Courier New"/>
      <w:kern w:val="2"/>
      <w:sz w:val="24"/>
      <w:szCs w:val="24"/>
      <w:lang w:val="en-US" w:eastAsia="zh-CN" w:bidi="ar-SA"/>
    </w:rPr>
  </w:style>
  <w:style w:type="paragraph" w:styleId="FootnoteText">
    <w:name w:val="footnote text"/>
    <w:basedOn w:val="Normal"/>
    <w:semiHidden/>
    <w:rsid w:val="00CB6A0F"/>
    <w:rPr>
      <w:sz w:val="18"/>
      <w:szCs w:val="18"/>
    </w:rPr>
  </w:style>
  <w:style w:type="character" w:styleId="FootnoteReference">
    <w:name w:val="footnote reference"/>
    <w:basedOn w:val="DefaultParagraphFont"/>
    <w:semiHidden/>
    <w:rsid w:val="00CB6A0F"/>
    <w:rPr>
      <w:vertAlign w:val="superscript"/>
    </w:rPr>
  </w:style>
  <w:style w:type="paragraph" w:styleId="BalloonText">
    <w:name w:val="Balloon Text"/>
    <w:basedOn w:val="Normal"/>
    <w:semiHidden/>
    <w:rsid w:val="00CB6A0F"/>
    <w:rPr>
      <w:sz w:val="18"/>
      <w:szCs w:val="18"/>
    </w:rPr>
  </w:style>
  <w:style w:type="paragraph" w:styleId="CommentText">
    <w:name w:val="annotation text"/>
    <w:basedOn w:val="Normal"/>
    <w:semiHidden/>
    <w:rsid w:val="00CB6A0F"/>
  </w:style>
  <w:style w:type="character" w:styleId="CommentReference">
    <w:name w:val="annotation reference"/>
    <w:basedOn w:val="DefaultParagraphFont"/>
    <w:semiHidden/>
    <w:rsid w:val="00CB6A0F"/>
    <w:rPr>
      <w:sz w:val="21"/>
      <w:szCs w:val="21"/>
    </w:rPr>
  </w:style>
  <w:style w:type="paragraph" w:styleId="CommentSubject">
    <w:name w:val="annotation subject"/>
    <w:basedOn w:val="CommentText"/>
    <w:next w:val="CommentText"/>
    <w:semiHidden/>
    <w:rsid w:val="00CB6A0F"/>
    <w:rPr>
      <w:b/>
      <w:bCs/>
    </w:rPr>
  </w:style>
  <w:style w:type="paragraph" w:styleId="Index4">
    <w:name w:val="index 4"/>
    <w:basedOn w:val="Normal"/>
    <w:next w:val="Normal"/>
    <w:autoRedefine/>
    <w:semiHidden/>
    <w:rsid w:val="00CB6A0F"/>
    <w:pPr>
      <w:ind w:left="1260"/>
    </w:pPr>
  </w:style>
  <w:style w:type="paragraph" w:styleId="IndexHeading">
    <w:name w:val="index heading"/>
    <w:basedOn w:val="Normal"/>
    <w:next w:val="Normal"/>
    <w:semiHidden/>
    <w:rsid w:val="00F613A7"/>
    <w:pPr>
      <w:widowControl w:val="0"/>
      <w:topLinePunct w:val="0"/>
      <w:spacing w:before="240" w:after="120" w:line="240" w:lineRule="auto"/>
      <w:ind w:left="0"/>
    </w:pPr>
    <w:rPr>
      <w:rFonts w:ascii="Book Antiqua" w:hAnsi="Book Antiqua"/>
      <w:b/>
      <w:bCs/>
      <w:iCs/>
      <w:sz w:val="26"/>
      <w:szCs w:val="26"/>
    </w:rPr>
  </w:style>
  <w:style w:type="paragraph" w:styleId="Caption">
    <w:name w:val="caption"/>
    <w:basedOn w:val="Normal"/>
    <w:next w:val="Normal"/>
    <w:semiHidden/>
    <w:qFormat/>
    <w:rsid w:val="00CB6A0F"/>
    <w:pPr>
      <w:spacing w:before="152"/>
    </w:pPr>
    <w:rPr>
      <w:rFonts w:ascii="Arial" w:eastAsia="黑体" w:hAnsi="Arial"/>
      <w:sz w:val="20"/>
      <w:szCs w:val="20"/>
    </w:rPr>
  </w:style>
  <w:style w:type="paragraph" w:styleId="EndnoteText">
    <w:name w:val="endnote text"/>
    <w:basedOn w:val="Normal"/>
    <w:semiHidden/>
    <w:rsid w:val="00CB6A0F"/>
  </w:style>
  <w:style w:type="character" w:styleId="EndnoteReference">
    <w:name w:val="endnote reference"/>
    <w:basedOn w:val="DefaultParagraphFont"/>
    <w:semiHidden/>
    <w:rsid w:val="00CB6A0F"/>
    <w:rPr>
      <w:vertAlign w:val="superscript"/>
    </w:rPr>
  </w:style>
  <w:style w:type="paragraph" w:styleId="TableofAuthorities">
    <w:name w:val="table of authorities"/>
    <w:basedOn w:val="Normal"/>
    <w:next w:val="Normal"/>
    <w:semiHidden/>
    <w:rsid w:val="00CB6A0F"/>
    <w:pPr>
      <w:ind w:left="420"/>
    </w:pPr>
  </w:style>
  <w:style w:type="paragraph" w:styleId="TOAHeading">
    <w:name w:val="toa heading"/>
    <w:basedOn w:val="Normal"/>
    <w:next w:val="Normal"/>
    <w:semiHidden/>
    <w:rsid w:val="00CB6A0F"/>
    <w:pPr>
      <w:spacing w:before="120"/>
    </w:pPr>
    <w:rPr>
      <w:rFonts w:ascii="Arial" w:hAnsi="Arial"/>
    </w:rPr>
  </w:style>
  <w:style w:type="paragraph" w:customStyle="1" w:styleId="Contents">
    <w:name w:val="Contents"/>
    <w:basedOn w:val="Heading1NoNumber"/>
    <w:rsid w:val="00B937D5"/>
    <w:rPr>
      <w:rFonts w:eastAsia="黑体"/>
    </w:rPr>
  </w:style>
  <w:style w:type="character" w:styleId="HTMLVariable">
    <w:name w:val="HTML Variable"/>
    <w:basedOn w:val="DefaultParagraphFont"/>
    <w:semiHidden/>
    <w:rsid w:val="00176DF9"/>
    <w:rPr>
      <w:i/>
      <w:iCs/>
    </w:rPr>
  </w:style>
  <w:style w:type="character" w:styleId="HTMLTypewriter">
    <w:name w:val="HTML Typewriter"/>
    <w:basedOn w:val="DefaultParagraphFont"/>
    <w:semiHidden/>
    <w:rsid w:val="00176DF9"/>
    <w:rPr>
      <w:rFonts w:ascii="Courier New" w:hAnsi="Courier New" w:cs="Courier New"/>
      <w:sz w:val="20"/>
      <w:szCs w:val="20"/>
    </w:rPr>
  </w:style>
  <w:style w:type="character" w:styleId="HTMLCode">
    <w:name w:val="HTML Code"/>
    <w:basedOn w:val="DefaultParagraphFont"/>
    <w:semiHidden/>
    <w:rsid w:val="00176DF9"/>
    <w:rPr>
      <w:rFonts w:ascii="Courier New" w:hAnsi="Courier New" w:cs="Courier New"/>
      <w:sz w:val="20"/>
      <w:szCs w:val="20"/>
    </w:rPr>
  </w:style>
  <w:style w:type="paragraph" w:styleId="HTMLAddress">
    <w:name w:val="HTML Address"/>
    <w:basedOn w:val="Normal"/>
    <w:semiHidden/>
    <w:rsid w:val="00176DF9"/>
    <w:rPr>
      <w:i/>
      <w:iCs/>
    </w:rPr>
  </w:style>
  <w:style w:type="character" w:styleId="HTMLDefinition">
    <w:name w:val="HTML Definition"/>
    <w:basedOn w:val="DefaultParagraphFont"/>
    <w:semiHidden/>
    <w:rsid w:val="00176DF9"/>
    <w:rPr>
      <w:i/>
      <w:iCs/>
    </w:rPr>
  </w:style>
  <w:style w:type="character" w:styleId="HTMLKeyboard">
    <w:name w:val="HTML Keyboard"/>
    <w:basedOn w:val="DefaultParagraphFont"/>
    <w:semiHidden/>
    <w:rsid w:val="00176DF9"/>
    <w:rPr>
      <w:rFonts w:ascii="Courier New" w:hAnsi="Courier New" w:cs="Courier New"/>
      <w:sz w:val="20"/>
      <w:szCs w:val="20"/>
    </w:rPr>
  </w:style>
  <w:style w:type="character" w:styleId="HTMLAcronym">
    <w:name w:val="HTML Acronym"/>
    <w:basedOn w:val="DefaultParagraphFont"/>
    <w:semiHidden/>
    <w:rsid w:val="00176DF9"/>
  </w:style>
  <w:style w:type="character" w:styleId="HTMLSample">
    <w:name w:val="HTML Sample"/>
    <w:basedOn w:val="DefaultParagraphFont"/>
    <w:semiHidden/>
    <w:rsid w:val="00176DF9"/>
    <w:rPr>
      <w:rFonts w:ascii="Courier New" w:hAnsi="Courier New" w:cs="Courier New"/>
    </w:rPr>
  </w:style>
  <w:style w:type="character" w:styleId="HTMLCite">
    <w:name w:val="HTML Cite"/>
    <w:basedOn w:val="DefaultParagraphFont"/>
    <w:semiHidden/>
    <w:rsid w:val="00176DF9"/>
    <w:rPr>
      <w:i/>
      <w:iCs/>
    </w:rPr>
  </w:style>
  <w:style w:type="paragraph" w:styleId="HTMLPreformatted">
    <w:name w:val="HTML Preformatted"/>
    <w:basedOn w:val="Normal"/>
    <w:semiHidden/>
    <w:rsid w:val="00176DF9"/>
    <w:rPr>
      <w:rFonts w:ascii="Courier New" w:hAnsi="Courier New" w:cs="Courier New"/>
      <w:sz w:val="20"/>
      <w:szCs w:val="20"/>
    </w:rPr>
  </w:style>
  <w:style w:type="table" w:styleId="TableWeb1">
    <w:name w:val="Table Web 1"/>
    <w:basedOn w:val="TableNormal"/>
    <w:semiHidden/>
    <w:rsid w:val="00176DF9"/>
    <w:pPr>
      <w:adjustRightInd w:val="0"/>
      <w:snapToGrid w:val="0"/>
      <w:spacing w:before="160" w:after="160" w:line="240" w:lineRule="atLeast"/>
      <w:ind w:left="1701"/>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76DF9"/>
    <w:pPr>
      <w:adjustRightInd w:val="0"/>
      <w:snapToGrid w:val="0"/>
      <w:spacing w:before="160" w:after="160" w:line="240" w:lineRule="atLeast"/>
      <w:ind w:left="1701"/>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76DF9"/>
    <w:pPr>
      <w:adjustRightInd w:val="0"/>
      <w:snapToGrid w:val="0"/>
      <w:spacing w:before="160" w:after="160" w:line="240" w:lineRule="atLeast"/>
      <w:ind w:left="1701"/>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semiHidden/>
    <w:rsid w:val="00176DF9"/>
    <w:pPr>
      <w:adjustRightInd w:val="0"/>
      <w:snapToGrid w:val="0"/>
      <w:spacing w:before="160" w:after="160" w:line="240" w:lineRule="atLeast"/>
      <w:ind w:left="1701"/>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olorful1">
    <w:name w:val="Table Colorful 1"/>
    <w:basedOn w:val="TableNormal"/>
    <w:semiHidden/>
    <w:rsid w:val="00176DF9"/>
    <w:pPr>
      <w:adjustRightInd w:val="0"/>
      <w:snapToGrid w:val="0"/>
      <w:spacing w:before="160" w:after="160" w:line="240" w:lineRule="atLeast"/>
      <w:ind w:left="1701"/>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76DF9"/>
    <w:pPr>
      <w:adjustRightInd w:val="0"/>
      <w:snapToGrid w:val="0"/>
      <w:spacing w:before="160" w:after="160" w:line="240" w:lineRule="atLeast"/>
      <w:ind w:left="1701"/>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76DF9"/>
    <w:pPr>
      <w:adjustRightInd w:val="0"/>
      <w:snapToGrid w:val="0"/>
      <w:spacing w:before="160" w:after="160" w:line="240" w:lineRule="atLeast"/>
      <w:ind w:left="1701"/>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Salutation">
    <w:name w:val="Salutation"/>
    <w:basedOn w:val="Normal"/>
    <w:next w:val="Normal"/>
    <w:semiHidden/>
    <w:rsid w:val="00176DF9"/>
  </w:style>
  <w:style w:type="paragraph" w:styleId="PlainText">
    <w:name w:val="Plain Text"/>
    <w:basedOn w:val="Normal"/>
    <w:semiHidden/>
    <w:rsid w:val="00176DF9"/>
    <w:rPr>
      <w:rFonts w:ascii="宋体" w:hAnsi="Courier New" w:cs="Courier New"/>
    </w:rPr>
  </w:style>
  <w:style w:type="table" w:styleId="TableElegant">
    <w:name w:val="Table Elegant"/>
    <w:basedOn w:val="TableNormal"/>
    <w:semiHidden/>
    <w:rsid w:val="00176DF9"/>
    <w:pPr>
      <w:adjustRightInd w:val="0"/>
      <w:snapToGrid w:val="0"/>
      <w:spacing w:before="160" w:after="160" w:line="240" w:lineRule="atLeast"/>
      <w:ind w:left="1701"/>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Normal"/>
    <w:semiHidden/>
    <w:rsid w:val="00176DF9"/>
  </w:style>
  <w:style w:type="paragraph" w:styleId="Subtitle">
    <w:name w:val="Subtitle"/>
    <w:basedOn w:val="Normal"/>
    <w:semiHidden/>
    <w:qFormat/>
    <w:rsid w:val="00176DF9"/>
    <w:pPr>
      <w:spacing w:before="240" w:after="60" w:line="312" w:lineRule="atLeast"/>
      <w:jc w:val="center"/>
      <w:outlineLvl w:val="1"/>
    </w:pPr>
    <w:rPr>
      <w:rFonts w:ascii="Arial" w:hAnsi="Arial"/>
      <w:b/>
      <w:bCs/>
      <w:kern w:val="28"/>
      <w:sz w:val="32"/>
      <w:szCs w:val="32"/>
    </w:rPr>
  </w:style>
  <w:style w:type="table" w:styleId="TableClassic1">
    <w:name w:val="Table Classic 1"/>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76DF9"/>
    <w:pPr>
      <w:adjustRightInd w:val="0"/>
      <w:snapToGrid w:val="0"/>
      <w:spacing w:before="160" w:after="160" w:line="240" w:lineRule="atLeast"/>
      <w:ind w:left="1701"/>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EnvelopeReturn">
    <w:name w:val="envelope return"/>
    <w:basedOn w:val="Normal"/>
    <w:semiHidden/>
    <w:rsid w:val="00176DF9"/>
    <w:rPr>
      <w:rFonts w:ascii="Arial" w:hAnsi="Arial"/>
    </w:rPr>
  </w:style>
  <w:style w:type="table" w:styleId="TableSimple1">
    <w:name w:val="Table Simple 1"/>
    <w:basedOn w:val="TableNormal"/>
    <w:semiHidden/>
    <w:rsid w:val="00176DF9"/>
    <w:pPr>
      <w:adjustRightInd w:val="0"/>
      <w:snapToGrid w:val="0"/>
      <w:spacing w:before="160" w:after="160" w:line="240" w:lineRule="atLeast"/>
      <w:ind w:left="1701"/>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Closing">
    <w:name w:val="Closing"/>
    <w:basedOn w:val="Normal"/>
    <w:semiHidden/>
    <w:rsid w:val="00176DF9"/>
    <w:pPr>
      <w:ind w:leftChars="2100"/>
    </w:pPr>
  </w:style>
  <w:style w:type="table" w:styleId="TableSubtle1">
    <w:name w:val="Table Subtle 1"/>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76DF9"/>
    <w:pPr>
      <w:adjustRightInd w:val="0"/>
      <w:snapToGrid w:val="0"/>
      <w:spacing w:before="160" w:after="160" w:line="240" w:lineRule="atLeast"/>
      <w:ind w:left="1701"/>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76DF9"/>
    <w:pPr>
      <w:adjustRightInd w:val="0"/>
      <w:snapToGrid w:val="0"/>
      <w:spacing w:before="160" w:after="160" w:line="240" w:lineRule="atLeast"/>
      <w:ind w:left="1701"/>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
    <w:name w:val="List"/>
    <w:basedOn w:val="Normal"/>
    <w:semiHidden/>
    <w:rsid w:val="00176DF9"/>
    <w:pPr>
      <w:ind w:left="200" w:hangingChars="200"/>
    </w:pPr>
  </w:style>
  <w:style w:type="paragraph" w:styleId="List2">
    <w:name w:val="List 2"/>
    <w:basedOn w:val="Normal"/>
    <w:semiHidden/>
    <w:rsid w:val="00176DF9"/>
    <w:pPr>
      <w:ind w:leftChars="200" w:hangingChars="200"/>
    </w:pPr>
  </w:style>
  <w:style w:type="paragraph" w:styleId="List3">
    <w:name w:val="List 3"/>
    <w:basedOn w:val="Normal"/>
    <w:semiHidden/>
    <w:rsid w:val="00176DF9"/>
    <w:pPr>
      <w:ind w:leftChars="400" w:hangingChars="200"/>
    </w:pPr>
  </w:style>
  <w:style w:type="paragraph" w:styleId="List4">
    <w:name w:val="List 4"/>
    <w:basedOn w:val="Normal"/>
    <w:semiHidden/>
    <w:rsid w:val="00176DF9"/>
    <w:pPr>
      <w:ind w:leftChars="600" w:hangingChars="200"/>
    </w:pPr>
  </w:style>
  <w:style w:type="paragraph" w:styleId="List5">
    <w:name w:val="List 5"/>
    <w:basedOn w:val="Normal"/>
    <w:semiHidden/>
    <w:rsid w:val="00176DF9"/>
    <w:pPr>
      <w:ind w:leftChars="800" w:hangingChars="200"/>
    </w:pPr>
  </w:style>
  <w:style w:type="paragraph" w:styleId="ListNumber">
    <w:name w:val="List Number"/>
    <w:basedOn w:val="Normal"/>
    <w:semiHidden/>
    <w:rsid w:val="00176DF9"/>
    <w:pPr>
      <w:numPr>
        <w:numId w:val="4"/>
      </w:numPr>
    </w:pPr>
  </w:style>
  <w:style w:type="paragraph" w:styleId="ListNumber2">
    <w:name w:val="List Number 2"/>
    <w:basedOn w:val="Normal"/>
    <w:semiHidden/>
    <w:rsid w:val="00176DF9"/>
    <w:pPr>
      <w:numPr>
        <w:numId w:val="5"/>
      </w:numPr>
    </w:pPr>
  </w:style>
  <w:style w:type="paragraph" w:styleId="ListNumber3">
    <w:name w:val="List Number 3"/>
    <w:basedOn w:val="Normal"/>
    <w:semiHidden/>
    <w:rsid w:val="00176DF9"/>
    <w:pPr>
      <w:numPr>
        <w:numId w:val="6"/>
      </w:numPr>
    </w:pPr>
  </w:style>
  <w:style w:type="paragraph" w:styleId="ListNumber4">
    <w:name w:val="List Number 4"/>
    <w:basedOn w:val="Normal"/>
    <w:semiHidden/>
    <w:rsid w:val="00176DF9"/>
    <w:pPr>
      <w:numPr>
        <w:numId w:val="7"/>
      </w:numPr>
    </w:pPr>
  </w:style>
  <w:style w:type="paragraph" w:styleId="ListNumber5">
    <w:name w:val="List Number 5"/>
    <w:basedOn w:val="Normal"/>
    <w:semiHidden/>
    <w:rsid w:val="00176DF9"/>
    <w:pPr>
      <w:numPr>
        <w:numId w:val="8"/>
      </w:numPr>
    </w:pPr>
  </w:style>
  <w:style w:type="paragraph" w:styleId="ListContinue">
    <w:name w:val="List Continue"/>
    <w:basedOn w:val="Normal"/>
    <w:semiHidden/>
    <w:rsid w:val="00176DF9"/>
    <w:pPr>
      <w:spacing w:after="120"/>
      <w:ind w:leftChars="200"/>
    </w:pPr>
  </w:style>
  <w:style w:type="paragraph" w:styleId="ListContinue2">
    <w:name w:val="List Continue 2"/>
    <w:basedOn w:val="Normal"/>
    <w:semiHidden/>
    <w:rsid w:val="00176DF9"/>
    <w:pPr>
      <w:spacing w:after="120"/>
      <w:ind w:leftChars="400"/>
    </w:pPr>
  </w:style>
  <w:style w:type="paragraph" w:styleId="ListContinue3">
    <w:name w:val="List Continue 3"/>
    <w:basedOn w:val="Normal"/>
    <w:semiHidden/>
    <w:rsid w:val="00176DF9"/>
    <w:pPr>
      <w:spacing w:after="120"/>
      <w:ind w:leftChars="600"/>
    </w:pPr>
  </w:style>
  <w:style w:type="paragraph" w:styleId="ListContinue4">
    <w:name w:val="List Continue 4"/>
    <w:basedOn w:val="Normal"/>
    <w:semiHidden/>
    <w:rsid w:val="00176DF9"/>
    <w:pPr>
      <w:spacing w:after="120"/>
      <w:ind w:leftChars="800"/>
    </w:pPr>
  </w:style>
  <w:style w:type="paragraph" w:styleId="ListContinue5">
    <w:name w:val="List Continue 5"/>
    <w:basedOn w:val="Normal"/>
    <w:semiHidden/>
    <w:rsid w:val="00176DF9"/>
    <w:pPr>
      <w:spacing w:after="120"/>
      <w:ind w:leftChars="1000"/>
    </w:pPr>
  </w:style>
  <w:style w:type="paragraph" w:styleId="ListBullet">
    <w:name w:val="List Bullet"/>
    <w:basedOn w:val="Normal"/>
    <w:autoRedefine/>
    <w:semiHidden/>
    <w:rsid w:val="00176DF9"/>
    <w:pPr>
      <w:numPr>
        <w:numId w:val="9"/>
      </w:numPr>
    </w:pPr>
  </w:style>
  <w:style w:type="paragraph" w:styleId="ListBullet2">
    <w:name w:val="List Bullet 2"/>
    <w:basedOn w:val="Normal"/>
    <w:autoRedefine/>
    <w:semiHidden/>
    <w:rsid w:val="00176DF9"/>
    <w:pPr>
      <w:numPr>
        <w:numId w:val="10"/>
      </w:numPr>
    </w:pPr>
  </w:style>
  <w:style w:type="paragraph" w:styleId="ListBullet3">
    <w:name w:val="List Bullet 3"/>
    <w:basedOn w:val="Normal"/>
    <w:autoRedefine/>
    <w:semiHidden/>
    <w:rsid w:val="00176DF9"/>
    <w:pPr>
      <w:numPr>
        <w:numId w:val="11"/>
      </w:numPr>
    </w:pPr>
  </w:style>
  <w:style w:type="paragraph" w:styleId="ListBullet4">
    <w:name w:val="List Bullet 4"/>
    <w:basedOn w:val="Normal"/>
    <w:autoRedefine/>
    <w:semiHidden/>
    <w:rsid w:val="00176DF9"/>
    <w:pPr>
      <w:numPr>
        <w:numId w:val="12"/>
      </w:numPr>
    </w:pPr>
  </w:style>
  <w:style w:type="paragraph" w:styleId="ListBullet5">
    <w:name w:val="List Bullet 5"/>
    <w:basedOn w:val="Normal"/>
    <w:autoRedefine/>
    <w:semiHidden/>
    <w:rsid w:val="00176DF9"/>
    <w:pPr>
      <w:numPr>
        <w:numId w:val="13"/>
      </w:numPr>
    </w:pPr>
  </w:style>
  <w:style w:type="table" w:styleId="TableList1">
    <w:name w:val="Table List 1"/>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76DF9"/>
    <w:pPr>
      <w:adjustRightInd w:val="0"/>
      <w:snapToGrid w:val="0"/>
      <w:spacing w:before="160" w:after="160" w:line="240" w:lineRule="atLeast"/>
      <w:ind w:left="1701"/>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TableList7">
    <w:name w:val="Table List 7"/>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TableContemporary">
    <w:name w:val="Table Contemporary"/>
    <w:basedOn w:val="TableNormal"/>
    <w:semiHidden/>
    <w:rsid w:val="00176DF9"/>
    <w:pPr>
      <w:adjustRightInd w:val="0"/>
      <w:snapToGrid w:val="0"/>
      <w:spacing w:before="160" w:after="160" w:line="240" w:lineRule="atLeast"/>
      <w:ind w:left="1701"/>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lWeb">
    <w:name w:val="Normal (Web)"/>
    <w:basedOn w:val="Normal"/>
    <w:semiHidden/>
    <w:rsid w:val="00176DF9"/>
    <w:rPr>
      <w:rFonts w:cs="Times New Roman"/>
    </w:rPr>
  </w:style>
  <w:style w:type="paragraph" w:styleId="Signature">
    <w:name w:val="Signature"/>
    <w:basedOn w:val="Normal"/>
    <w:semiHidden/>
    <w:rsid w:val="00176DF9"/>
    <w:pPr>
      <w:ind w:leftChars="2100"/>
    </w:pPr>
  </w:style>
  <w:style w:type="character" w:styleId="Emphasis">
    <w:name w:val="Emphasis"/>
    <w:basedOn w:val="DefaultParagraphFont"/>
    <w:semiHidden/>
    <w:qFormat/>
    <w:rsid w:val="00176DF9"/>
    <w:rPr>
      <w:i/>
      <w:iCs/>
    </w:rPr>
  </w:style>
  <w:style w:type="paragraph" w:styleId="Date">
    <w:name w:val="Date"/>
    <w:basedOn w:val="Normal"/>
    <w:next w:val="Normal"/>
    <w:semiHidden/>
    <w:rsid w:val="00176DF9"/>
    <w:pPr>
      <w:ind w:leftChars="2500"/>
    </w:pPr>
  </w:style>
  <w:style w:type="table" w:styleId="TableColumns1">
    <w:name w:val="Table Columns 1"/>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76DF9"/>
    <w:pPr>
      <w:adjustRightInd w:val="0"/>
      <w:snapToGrid w:val="0"/>
      <w:spacing w:before="160" w:after="160" w:line="240" w:lineRule="atLeast"/>
      <w:ind w:left="1701"/>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76DF9"/>
    <w:pPr>
      <w:adjustRightInd w:val="0"/>
      <w:snapToGrid w:val="0"/>
      <w:spacing w:before="160" w:after="160" w:line="240" w:lineRule="atLeast"/>
      <w:ind w:left="1701"/>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76DF9"/>
    <w:pPr>
      <w:adjustRightInd w:val="0"/>
      <w:snapToGrid w:val="0"/>
      <w:spacing w:before="160" w:after="160" w:line="240" w:lineRule="atLeast"/>
      <w:ind w:left="1701"/>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2">
    <w:name w:val="Table Grid 2"/>
    <w:basedOn w:val="TableNormal"/>
    <w:semiHidden/>
    <w:rsid w:val="00176DF9"/>
    <w:pPr>
      <w:adjustRightInd w:val="0"/>
      <w:snapToGrid w:val="0"/>
      <w:spacing w:before="160" w:after="160" w:line="240" w:lineRule="atLeast"/>
      <w:ind w:left="1701"/>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semiHidden/>
    <w:rsid w:val="00176DF9"/>
    <w:pPr>
      <w:adjustRightInd w:val="0"/>
      <w:snapToGrid w:val="0"/>
      <w:spacing w:before="160" w:after="160" w:line="240" w:lineRule="atLeast"/>
      <w:ind w:left="1701"/>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76DF9"/>
    <w:pPr>
      <w:adjustRightInd w:val="0"/>
      <w:snapToGrid w:val="0"/>
      <w:spacing w:before="160" w:after="160" w:line="240" w:lineRule="atLeast"/>
      <w:ind w:left="1701"/>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76DF9"/>
    <w:pPr>
      <w:adjustRightInd w:val="0"/>
      <w:snapToGrid w:val="0"/>
      <w:spacing w:before="160" w:after="160" w:line="240" w:lineRule="atLeast"/>
      <w:ind w:left="1701"/>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lockText">
    <w:name w:val="Block Text"/>
    <w:basedOn w:val="Normal"/>
    <w:semiHidden/>
    <w:rsid w:val="00176DF9"/>
    <w:pPr>
      <w:spacing w:after="120"/>
      <w:ind w:leftChars="700" w:rightChars="700"/>
    </w:pPr>
  </w:style>
  <w:style w:type="numbering" w:styleId="ArticleSection">
    <w:name w:val="Outline List 3"/>
    <w:basedOn w:val="NoList"/>
    <w:semiHidden/>
    <w:rsid w:val="00176DF9"/>
    <w:pPr>
      <w:numPr>
        <w:numId w:val="14"/>
      </w:numPr>
    </w:pPr>
  </w:style>
  <w:style w:type="paragraph" w:styleId="EnvelopeAddress">
    <w:name w:val="envelope address"/>
    <w:basedOn w:val="Normal"/>
    <w:semiHidden/>
    <w:rsid w:val="00176DF9"/>
    <w:pPr>
      <w:framePr w:w="7920" w:h="1980" w:hRule="exact" w:hSpace="180" w:wrap="auto" w:hAnchor="page" w:xAlign="center" w:yAlign="bottom"/>
      <w:ind w:leftChars="1400"/>
    </w:pPr>
    <w:rPr>
      <w:rFonts w:ascii="Arial" w:hAnsi="Arial"/>
    </w:rPr>
  </w:style>
  <w:style w:type="paragraph" w:styleId="MessageHeader">
    <w:name w:val="Message Header"/>
    <w:basedOn w:val="Normal"/>
    <w:semiHidden/>
    <w:rsid w:val="00176DF9"/>
    <w:pPr>
      <w:pBdr>
        <w:top w:val="single" w:sz="6" w:space="1" w:color="auto"/>
        <w:left w:val="single" w:sz="6" w:space="1" w:color="auto"/>
        <w:bottom w:val="single" w:sz="6" w:space="1" w:color="auto"/>
        <w:right w:val="single" w:sz="6" w:space="1" w:color="auto"/>
      </w:pBdr>
      <w:shd w:val="pct20" w:color="auto" w:fill="auto"/>
      <w:ind w:leftChars="500" w:hangingChars="500"/>
    </w:pPr>
    <w:rPr>
      <w:rFonts w:ascii="Arial" w:hAnsi="Arial"/>
    </w:rPr>
  </w:style>
  <w:style w:type="character" w:styleId="LineNumber">
    <w:name w:val="line number"/>
    <w:basedOn w:val="DefaultParagraphFont"/>
    <w:semiHidden/>
    <w:rsid w:val="00176DF9"/>
  </w:style>
  <w:style w:type="character" w:styleId="Strong">
    <w:name w:val="Strong"/>
    <w:basedOn w:val="DefaultParagraphFont"/>
    <w:semiHidden/>
    <w:qFormat/>
    <w:rsid w:val="00176DF9"/>
    <w:rPr>
      <w:b/>
      <w:bCs/>
    </w:rPr>
  </w:style>
  <w:style w:type="character" w:styleId="PageNumber">
    <w:name w:val="page number"/>
    <w:basedOn w:val="DefaultParagraphFont"/>
    <w:semiHidden/>
    <w:rsid w:val="00176DF9"/>
  </w:style>
  <w:style w:type="character" w:styleId="FollowedHyperlink">
    <w:name w:val="FollowedHyperlink"/>
    <w:rsid w:val="004D5212"/>
    <w:rPr>
      <w:color w:val="800080"/>
      <w:u w:val="none"/>
    </w:rPr>
  </w:style>
  <w:style w:type="paragraph" w:styleId="BodyText">
    <w:name w:val="Body Text"/>
    <w:basedOn w:val="Normal"/>
    <w:semiHidden/>
    <w:rsid w:val="00176DF9"/>
    <w:pPr>
      <w:spacing w:after="120"/>
    </w:pPr>
  </w:style>
  <w:style w:type="paragraph" w:styleId="BodyTextFirstIndent">
    <w:name w:val="Body Text First Indent"/>
    <w:basedOn w:val="BodyText"/>
    <w:semiHidden/>
    <w:rsid w:val="00176DF9"/>
    <w:pPr>
      <w:ind w:firstLineChars="100"/>
    </w:pPr>
  </w:style>
  <w:style w:type="paragraph" w:styleId="BodyTextIndent">
    <w:name w:val="Body Text Indent"/>
    <w:basedOn w:val="Normal"/>
    <w:semiHidden/>
    <w:rsid w:val="00176DF9"/>
    <w:pPr>
      <w:spacing w:after="120"/>
      <w:ind w:leftChars="200"/>
    </w:pPr>
  </w:style>
  <w:style w:type="paragraph" w:styleId="BodyTextFirstIndent2">
    <w:name w:val="Body Text First Indent 2"/>
    <w:basedOn w:val="BodyTextIndent"/>
    <w:semiHidden/>
    <w:rsid w:val="00176DF9"/>
    <w:pPr>
      <w:ind w:firstLineChars="200"/>
    </w:pPr>
  </w:style>
  <w:style w:type="paragraph" w:styleId="NormalIndent">
    <w:name w:val="Normal Indent"/>
    <w:basedOn w:val="Normal"/>
    <w:semiHidden/>
    <w:rsid w:val="00176DF9"/>
    <w:pPr>
      <w:ind w:firstLineChars="200"/>
    </w:pPr>
  </w:style>
  <w:style w:type="paragraph" w:styleId="BodyText2">
    <w:name w:val="Body Text 2"/>
    <w:basedOn w:val="Normal"/>
    <w:semiHidden/>
    <w:rsid w:val="00176DF9"/>
    <w:pPr>
      <w:spacing w:after="120" w:line="480" w:lineRule="auto"/>
    </w:pPr>
  </w:style>
  <w:style w:type="paragraph" w:styleId="BodyText3">
    <w:name w:val="Body Text 3"/>
    <w:basedOn w:val="Normal"/>
    <w:semiHidden/>
    <w:rsid w:val="00176DF9"/>
    <w:pPr>
      <w:spacing w:after="120"/>
    </w:pPr>
    <w:rPr>
      <w:sz w:val="16"/>
      <w:szCs w:val="16"/>
    </w:rPr>
  </w:style>
  <w:style w:type="paragraph" w:styleId="BodyTextIndent2">
    <w:name w:val="Body Text Indent 2"/>
    <w:basedOn w:val="Normal"/>
    <w:semiHidden/>
    <w:rsid w:val="00176DF9"/>
    <w:pPr>
      <w:spacing w:after="120" w:line="480" w:lineRule="auto"/>
      <w:ind w:leftChars="200"/>
    </w:pPr>
  </w:style>
  <w:style w:type="paragraph" w:styleId="BodyTextIndent3">
    <w:name w:val="Body Text Indent 3"/>
    <w:basedOn w:val="Normal"/>
    <w:semiHidden/>
    <w:rsid w:val="00176DF9"/>
    <w:pPr>
      <w:spacing w:after="120"/>
      <w:ind w:leftChars="200"/>
    </w:pPr>
    <w:rPr>
      <w:sz w:val="16"/>
      <w:szCs w:val="16"/>
    </w:rPr>
  </w:style>
  <w:style w:type="paragraph" w:styleId="NoteHeading">
    <w:name w:val="Note Heading"/>
    <w:basedOn w:val="Normal"/>
    <w:next w:val="Normal"/>
    <w:semiHidden/>
    <w:rsid w:val="00176DF9"/>
    <w:pPr>
      <w:jc w:val="center"/>
    </w:pPr>
  </w:style>
  <w:style w:type="paragraph" w:customStyle="1" w:styleId="ItemStepinTable">
    <w:name w:val="Item Step in Table"/>
    <w:semiHidden/>
    <w:rsid w:val="00A9413C"/>
    <w:pPr>
      <w:numPr>
        <w:numId w:val="17"/>
      </w:numPr>
      <w:topLinePunct/>
      <w:spacing w:before="40" w:after="40" w:line="240" w:lineRule="atLeast"/>
    </w:pPr>
    <w:rPr>
      <w:rFonts w:cs="Arial"/>
      <w:sz w:val="21"/>
      <w:szCs w:val="21"/>
      <w:lang w:val="en-US" w:eastAsia="zh-CN" w:bidi="ar-SA"/>
    </w:rPr>
  </w:style>
  <w:style w:type="paragraph" w:customStyle="1" w:styleId="End">
    <w:name w:val="End"/>
    <w:basedOn w:val="Normal"/>
    <w:rsid w:val="00B937D5"/>
    <w:pPr>
      <w:spacing w:after="400"/>
    </w:pPr>
    <w:rPr>
      <w:b/>
    </w:rPr>
  </w:style>
  <w:style w:type="paragraph" w:customStyle="1" w:styleId="1">
    <w:name w:val="样式1"/>
    <w:basedOn w:val="End"/>
    <w:semiHidden/>
    <w:rsid w:val="00C92052"/>
    <w:rPr>
      <w:b w:val="0"/>
    </w:rPr>
  </w:style>
  <w:style w:type="paragraph" w:customStyle="1" w:styleId="NotesTextListinTable">
    <w:name w:val="Notes Text List in Table"/>
    <w:rsid w:val="00B86119"/>
    <w:pPr>
      <w:numPr>
        <w:numId w:val="20"/>
      </w:numPr>
      <w:adjustRightInd w:val="0"/>
      <w:snapToGrid w:val="0"/>
      <w:spacing w:before="40" w:after="80" w:line="200" w:lineRule="atLeast"/>
    </w:pPr>
    <w:rPr>
      <w:rFonts w:eastAsia="楷体_GB2312" w:cs="Arial"/>
      <w:iCs/>
      <w:kern w:val="2"/>
      <w:sz w:val="18"/>
      <w:szCs w:val="18"/>
      <w:lang w:val="en-US" w:eastAsia="zh-CN" w:bidi="ar-SA"/>
    </w:rPr>
  </w:style>
  <w:style w:type="paragraph" w:customStyle="1" w:styleId="NotesTextListinTableSub">
    <w:name w:val="Notes Text List in Table Sub"/>
    <w:rsid w:val="002839CF"/>
    <w:pPr>
      <w:numPr>
        <w:ilvl w:val="7"/>
        <w:numId w:val="20"/>
      </w:numPr>
      <w:spacing w:before="40" w:after="80" w:line="200" w:lineRule="atLeast"/>
    </w:pPr>
    <w:rPr>
      <w:rFonts w:eastAsia="楷体_GB2312" w:cs="Arial"/>
      <w:noProof/>
      <w:sz w:val="18"/>
      <w:szCs w:val="18"/>
      <w:lang w:val="en-US" w:eastAsia="zh-CN" w:bidi="ar-SA"/>
    </w:rPr>
  </w:style>
  <w:style w:type="paragraph" w:customStyle="1" w:styleId="NotesHeading">
    <w:name w:val="Notes Heading"/>
    <w:basedOn w:val="CAUTIONHeading"/>
    <w:rsid w:val="00046DA7"/>
    <w:pPr>
      <w:pBdr>
        <w:top w:val="none" w:sz="0" w:space="0" w:color="auto"/>
      </w:pBdr>
      <w:spacing w:after="40"/>
    </w:pPr>
    <w:rPr>
      <w:sz w:val="18"/>
      <w:szCs w:val="18"/>
    </w:rPr>
  </w:style>
  <w:style w:type="paragraph" w:customStyle="1" w:styleId="NotesText">
    <w:name w:val="Notes Text"/>
    <w:basedOn w:val="CAUTIONText"/>
    <w:rsid w:val="0048609F"/>
    <w:pPr>
      <w:pBdr>
        <w:bottom w:val="none" w:sz="0" w:space="0" w:color="auto"/>
      </w:pBdr>
      <w:spacing w:before="40" w:line="200" w:lineRule="atLeast"/>
      <w:ind w:left="2075"/>
    </w:pPr>
    <w:rPr>
      <w:sz w:val="18"/>
      <w:szCs w:val="18"/>
    </w:rPr>
  </w:style>
  <w:style w:type="paragraph" w:customStyle="1" w:styleId="NotesTextList">
    <w:name w:val="Notes Text List"/>
    <w:basedOn w:val="CAUTIONTextList"/>
    <w:rsid w:val="00714DD5"/>
    <w:pPr>
      <w:keepNext w:val="0"/>
      <w:numPr>
        <w:numId w:val="3"/>
      </w:numPr>
      <w:pBdr>
        <w:bottom w:val="none" w:sz="0" w:space="0" w:color="auto"/>
      </w:pBdr>
      <w:spacing w:before="40" w:line="200" w:lineRule="atLeast"/>
    </w:pPr>
    <w:rPr>
      <w:sz w:val="18"/>
      <w:szCs w:val="18"/>
    </w:rPr>
  </w:style>
  <w:style w:type="paragraph" w:customStyle="1" w:styleId="NotesTextListSub">
    <w:name w:val="Notes Text List Sub"/>
    <w:basedOn w:val="CAUTIONTextList"/>
    <w:rsid w:val="00D17235"/>
    <w:pPr>
      <w:keepNext w:val="0"/>
      <w:numPr>
        <w:ilvl w:val="1"/>
        <w:numId w:val="3"/>
      </w:numPr>
      <w:pBdr>
        <w:bottom w:val="none" w:sz="0" w:space="0" w:color="auto"/>
      </w:pBdr>
      <w:spacing w:before="40" w:line="200" w:lineRule="atLeast"/>
    </w:pPr>
    <w:rPr>
      <w:sz w:val="18"/>
      <w:szCs w:val="18"/>
    </w:rPr>
  </w:style>
  <w:style w:type="paragraph" w:customStyle="1" w:styleId="NotesTextListThird">
    <w:name w:val="Notes Text List Third"/>
    <w:basedOn w:val="CAUTIONTextList"/>
    <w:rsid w:val="00D17235"/>
    <w:pPr>
      <w:keepNext w:val="0"/>
      <w:numPr>
        <w:ilvl w:val="2"/>
        <w:numId w:val="3"/>
      </w:numPr>
      <w:pBdr>
        <w:bottom w:val="none" w:sz="0" w:space="0" w:color="auto"/>
      </w:pBdr>
      <w:spacing w:before="40" w:line="200" w:lineRule="atLeast"/>
    </w:pPr>
    <w:rPr>
      <w:sz w:val="18"/>
      <w:szCs w:val="18"/>
    </w:rPr>
  </w:style>
  <w:style w:type="paragraph" w:customStyle="1" w:styleId="NotesTextListText">
    <w:name w:val="Notes Text List Text"/>
    <w:basedOn w:val="CAUTIONText"/>
    <w:rsid w:val="00960474"/>
    <w:pPr>
      <w:pBdr>
        <w:bottom w:val="none" w:sz="0" w:space="0" w:color="auto"/>
      </w:pBdr>
      <w:spacing w:before="40" w:line="200" w:lineRule="atLeast"/>
      <w:ind w:left="2359"/>
    </w:pPr>
    <w:rPr>
      <w:sz w:val="18"/>
      <w:szCs w:val="18"/>
    </w:rPr>
  </w:style>
  <w:style w:type="paragraph" w:customStyle="1" w:styleId="NotesTextListTextSub">
    <w:name w:val="Notes Text List Text Sub"/>
    <w:basedOn w:val="CAUTIONText"/>
    <w:rsid w:val="005263EC"/>
    <w:pPr>
      <w:pBdr>
        <w:bottom w:val="none" w:sz="0" w:space="0" w:color="auto"/>
      </w:pBdr>
      <w:spacing w:before="40" w:line="200" w:lineRule="atLeast"/>
      <w:ind w:left="2643"/>
    </w:pPr>
    <w:rPr>
      <w:sz w:val="18"/>
      <w:szCs w:val="18"/>
    </w:rPr>
  </w:style>
  <w:style w:type="paragraph" w:customStyle="1" w:styleId="NotesTextListTextThird">
    <w:name w:val="Notes Text List Text Third"/>
    <w:basedOn w:val="CAUTIONText"/>
    <w:rsid w:val="005263EC"/>
    <w:pPr>
      <w:pBdr>
        <w:bottom w:val="none" w:sz="0" w:space="0" w:color="auto"/>
      </w:pBdr>
      <w:spacing w:before="40" w:line="200" w:lineRule="atLeast"/>
      <w:ind w:left="2927"/>
    </w:pPr>
    <w:rPr>
      <w:sz w:val="18"/>
      <w:szCs w:val="18"/>
    </w:rPr>
  </w:style>
  <w:style w:type="paragraph" w:customStyle="1" w:styleId="NotesTextTD">
    <w:name w:val="Notes Text TD"/>
    <w:rsid w:val="00960475"/>
    <w:pPr>
      <w:adjustRightInd w:val="0"/>
      <w:snapToGrid w:val="0"/>
      <w:spacing w:line="240" w:lineRule="atLeast"/>
      <w:ind w:left="2075"/>
    </w:pPr>
    <w:rPr>
      <w:rFonts w:ascii="Courier New" w:hAnsi="Courier New" w:cs="Courier New"/>
      <w:snapToGrid w:val="0"/>
      <w:spacing w:val="-1"/>
      <w:sz w:val="16"/>
      <w:szCs w:val="16"/>
      <w:lang w:val="en-US" w:eastAsia="zh-CN" w:bidi="ar-SA"/>
    </w:rPr>
  </w:style>
  <w:style w:type="paragraph" w:customStyle="1" w:styleId="NotesTextListTextTD">
    <w:name w:val="Notes Text List Text TD"/>
    <w:rsid w:val="00960476"/>
    <w:pPr>
      <w:adjustRightInd w:val="0"/>
      <w:snapToGrid w:val="0"/>
      <w:spacing w:line="240" w:lineRule="atLeast"/>
      <w:ind w:left="2359"/>
    </w:pPr>
    <w:rPr>
      <w:rFonts w:ascii="Courier New" w:hAnsi="Courier New" w:cs="Courier New"/>
      <w:snapToGrid w:val="0"/>
      <w:spacing w:val="-1"/>
      <w:sz w:val="16"/>
      <w:szCs w:val="16"/>
      <w:lang w:val="en-US" w:eastAsia="zh-CN" w:bidi="ar-SA"/>
    </w:rPr>
  </w:style>
  <w:style w:type="paragraph" w:customStyle="1" w:styleId="NotesTextListTextTDSub">
    <w:name w:val="Notes Text List Text TD Sub"/>
    <w:rsid w:val="005263EB"/>
    <w:pPr>
      <w:snapToGrid w:val="0"/>
      <w:spacing w:line="240" w:lineRule="atLeast"/>
      <w:ind w:left="2643"/>
    </w:pPr>
    <w:rPr>
      <w:rFonts w:ascii="Courier New" w:hAnsi="Courier New" w:cs="Courier New"/>
      <w:snapToGrid w:val="0"/>
      <w:spacing w:val="-1"/>
      <w:sz w:val="16"/>
      <w:szCs w:val="16"/>
      <w:lang w:val="en-US" w:eastAsia="zh-CN" w:bidi="ar-SA"/>
    </w:rPr>
  </w:style>
  <w:style w:type="paragraph" w:customStyle="1" w:styleId="NotesTextListTextTDThird">
    <w:name w:val="Notes Text List Text TD Third"/>
    <w:rsid w:val="005263EB"/>
    <w:pPr>
      <w:snapToGrid w:val="0"/>
      <w:spacing w:line="240" w:lineRule="atLeast"/>
      <w:ind w:left="2927"/>
    </w:pPr>
    <w:rPr>
      <w:rFonts w:ascii="Courier New" w:hAnsi="Courier New" w:cs="Courier New"/>
      <w:snapToGrid w:val="0"/>
      <w:spacing w:val="-1"/>
      <w:sz w:val="16"/>
      <w:szCs w:val="16"/>
      <w:lang w:val="en-US" w:eastAsia="zh-CN" w:bidi="ar-SA"/>
    </w:rPr>
  </w:style>
  <w:style w:type="paragraph" w:customStyle="1" w:styleId="CAUTIONTextListTextTD">
    <w:name w:val="CAUTION Text List Text TD"/>
    <w:basedOn w:val="CAUTIONText"/>
    <w:rsid w:val="001749B3"/>
    <w:pPr>
      <w:adjustRightInd w:val="0"/>
      <w:snapToGrid w:val="0"/>
      <w:spacing w:line="240" w:lineRule="atLeast"/>
      <w:ind w:firstLine="284" w:firstLineChars="180"/>
    </w:pPr>
    <w:rPr>
      <w:rFonts w:ascii="Courier New" w:hAnsi="Courier New" w:cs="Courier New"/>
      <w:snapToGrid w:val="0"/>
      <w:spacing w:val="-1"/>
      <w:sz w:val="16"/>
      <w:szCs w:val="16"/>
      <w:lang w:val="en-US" w:eastAsia="zh-CN" w:bidi="ar-SA"/>
    </w:rPr>
  </w:style>
  <w:style w:type="paragraph" w:customStyle="1" w:styleId="CAUTIONTextTD">
    <w:name w:val="CAUTION Text TD"/>
    <w:basedOn w:val="CAUTIONText"/>
    <w:rsid w:val="001749B4"/>
    <w:pPr>
      <w:adjustRightInd w:val="0"/>
      <w:snapToGrid w:val="0"/>
      <w:spacing w:line="240" w:lineRule="atLeast"/>
      <w:ind w:left="1701"/>
    </w:pPr>
    <w:rPr>
      <w:rFonts w:ascii="Courier New" w:hAnsi="Courier New" w:cs="Courier New"/>
      <w:snapToGrid w:val="0"/>
      <w:spacing w:val="-1"/>
      <w:sz w:val="16"/>
      <w:szCs w:val="16"/>
      <w:lang w:val="en-US" w:eastAsia="zh-CN" w:bidi="ar-SA"/>
    </w:rPr>
  </w:style>
  <w:style w:type="paragraph" w:customStyle="1" w:styleId="CAUTIONTextStep">
    <w:name w:val="CAUTION Text Step"/>
    <w:basedOn w:val="CAUTIONText"/>
    <w:rsid w:val="001749B2"/>
    <w:pPr>
      <w:keepNext/>
      <w:numPr>
        <w:ilvl w:val="5"/>
        <w:numId w:val="31"/>
      </w:numPr>
    </w:pPr>
  </w:style>
  <w:style w:type="paragraph" w:customStyle="1" w:styleId="CAUTIONTextListText">
    <w:name w:val="CAUTION Text List Text"/>
    <w:basedOn w:val="CAUTIONText"/>
    <w:rsid w:val="001749B2"/>
    <w:pPr>
      <w:ind w:firstLine="283" w:firstLineChars="135"/>
    </w:pPr>
  </w:style>
  <w:style w:type="paragraph" w:customStyle="1" w:styleId="NotesTextStepinTable">
    <w:name w:val="Notes Text Step in Table"/>
    <w:rsid w:val="00D17237"/>
    <w:pPr>
      <w:numPr>
        <w:ilvl w:val="7"/>
        <w:numId w:val="31"/>
      </w:numPr>
      <w:pBdr>
        <w:bottom w:val="none" w:sz="0" w:space="0" w:color="auto"/>
      </w:pBdr>
      <w:spacing w:before="40" w:after="80" w:line="200" w:lineRule="atLeast"/>
    </w:pPr>
    <w:rPr>
      <w:rFonts w:ascii="Times New Roman" w:eastAsia="楷体_GB2312" w:hAnsi="Times New Roman" w:cs="Arial"/>
      <w:iCs/>
      <w:kern w:val="2"/>
      <w:sz w:val="18"/>
      <w:szCs w:val="18"/>
      <w:lang w:val="en-US" w:eastAsia="zh-CN" w:bidi="ar-SA"/>
    </w:rPr>
  </w:style>
  <w:style w:type="paragraph" w:customStyle="1" w:styleId="NotesTextStepinTableSub">
    <w:name w:val="Notes Text Step in Table Sub"/>
    <w:basedOn w:val="NotesTextStepinTable"/>
    <w:rsid w:val="00D17238"/>
    <w:pPr>
      <w:numPr>
        <w:ilvl w:val="3"/>
        <w:numId w:val="38"/>
      </w:numPr>
      <w:pBdr>
        <w:bottom w:val="none" w:sz="0" w:space="0" w:color="auto"/>
      </w:pBdr>
      <w:spacing w:before="40" w:after="80" w:line="200" w:lineRule="atLeast"/>
    </w:pPr>
    <w:rPr>
      <w:rFonts w:ascii="Times New Roman" w:eastAsia="楷体_GB2312" w:hAnsi="Times New Roman" w:cs="Arial"/>
      <w:noProof/>
      <w:sz w:val="18"/>
      <w:szCs w:val="18"/>
      <w:lang w:val="en-US" w:eastAsia="zh-CN" w:bidi="ar-SA"/>
    </w:rPr>
  </w:style>
  <w:style w:type="paragraph" w:customStyle="1" w:styleId="NotesTextListTextinTable">
    <w:name w:val="Notes Text List Text in Table"/>
    <w:rsid w:val="00340EDE"/>
    <w:pPr>
      <w:widowControl w:val="0"/>
      <w:adjustRightInd w:val="0"/>
      <w:snapToGrid w:val="0"/>
      <w:spacing w:before="40" w:after="80" w:line="240" w:lineRule="atLeast"/>
      <w:ind w:left="454"/>
    </w:pPr>
    <w:rPr>
      <w:rFonts w:ascii="Times New Roman" w:eastAsia="楷体_GB2312" w:hAnsi="Times New Roman" w:cs="Arial"/>
      <w:iCs/>
      <w:kern w:val="2"/>
      <w:sz w:val="18"/>
      <w:szCs w:val="18"/>
      <w:lang w:val="en-US" w:eastAsia="zh-CN" w:bidi="ar-SA"/>
    </w:rPr>
  </w:style>
  <w:style w:type="paragraph" w:customStyle="1" w:styleId="NotesTextListTextinTableSub">
    <w:name w:val="Notes Text List Text in Table Sub"/>
    <w:rsid w:val="00340EDE"/>
    <w:pPr>
      <w:widowControl w:val="0"/>
      <w:adjustRightInd w:val="0"/>
      <w:snapToGrid w:val="0"/>
      <w:spacing w:before="40" w:after="80" w:line="240" w:lineRule="atLeast"/>
      <w:ind w:left="738"/>
    </w:pPr>
    <w:rPr>
      <w:rFonts w:ascii="Times New Roman" w:eastAsia="楷体_GB2312" w:hAnsi="Times New Roman" w:cs="Arial"/>
      <w:iCs/>
      <w:kern w:val="2"/>
      <w:sz w:val="18"/>
      <w:szCs w:val="18"/>
      <w:lang w:val="en-US" w:eastAsia="zh-CN" w:bidi="ar-SA"/>
    </w:rPr>
  </w:style>
  <w:style w:type="paragraph" w:customStyle="1" w:styleId="NotesTextTDinTable">
    <w:name w:val="Notes Text TD in Table"/>
    <w:rsid w:val="00394F24"/>
    <w:pPr>
      <w:widowControl w:val="0"/>
      <w:adjustRightInd w:val="0"/>
      <w:snapToGrid w:val="0"/>
      <w:spacing w:before="80" w:after="80" w:line="240" w:lineRule="atLeast"/>
      <w:ind w:left="170"/>
    </w:pPr>
    <w:rPr>
      <w:rFonts w:ascii="Courier New" w:hAnsi="Courier New" w:cs="Courier New"/>
      <w:snapToGrid w:val="0"/>
      <w:spacing w:val="-1"/>
      <w:sz w:val="16"/>
      <w:szCs w:val="16"/>
      <w:lang w:val="en-US" w:eastAsia="zh-CN" w:bidi="ar-SA"/>
    </w:rPr>
  </w:style>
  <w:style w:type="paragraph" w:customStyle="1" w:styleId="NotesTextListTextTDinTable">
    <w:name w:val="Notes Text List Text TD in Table"/>
    <w:rsid w:val="00394F25"/>
    <w:pPr>
      <w:widowControl w:val="0"/>
      <w:adjustRightInd w:val="0"/>
      <w:snapToGrid w:val="0"/>
      <w:spacing w:before="80" w:after="80" w:line="240" w:lineRule="atLeast"/>
      <w:ind w:left="454"/>
    </w:pPr>
    <w:rPr>
      <w:rFonts w:ascii="Courier New" w:hAnsi="Courier New" w:cs="Courier New"/>
      <w:snapToGrid w:val="0"/>
      <w:spacing w:val="-1"/>
      <w:sz w:val="16"/>
      <w:szCs w:val="16"/>
      <w:lang w:val="en-US" w:eastAsia="zh-CN" w:bidi="ar-SA"/>
    </w:rPr>
  </w:style>
  <w:style w:type="paragraph" w:customStyle="1" w:styleId="NotesTextStep">
    <w:name w:val="Notes Text Step"/>
    <w:basedOn w:val="CAUTIONTextStep"/>
    <w:rsid w:val="00D17236"/>
    <w:pPr>
      <w:numPr>
        <w:ilvl w:val="6"/>
        <w:numId w:val="31"/>
      </w:numPr>
      <w:pBdr>
        <w:bottom w:val="none" w:sz="0" w:space="0" w:color="auto"/>
      </w:pBdr>
      <w:spacing w:before="40" w:line="200" w:lineRule="atLeast"/>
    </w:pPr>
    <w:rPr>
      <w:sz w:val="18"/>
      <w:szCs w:val="18"/>
    </w:rPr>
  </w:style>
  <w:style w:type="paragraph" w:customStyle="1" w:styleId="NotesTextStepSub">
    <w:name w:val="Notes Text Step Sub"/>
    <w:basedOn w:val="CAUTIONTextStep"/>
    <w:rsid w:val="00642033"/>
    <w:pPr>
      <w:numPr>
        <w:ilvl w:val="1"/>
        <w:numId w:val="38"/>
      </w:numPr>
      <w:pBdr>
        <w:bottom w:val="none" w:sz="0" w:space="0" w:color="auto"/>
      </w:pBdr>
      <w:spacing w:before="40" w:line="200" w:lineRule="atLeast"/>
    </w:pPr>
    <w:rPr>
      <w:sz w:val="18"/>
      <w:szCs w:val="18"/>
    </w:rPr>
  </w:style>
  <w:style w:type="paragraph" w:customStyle="1" w:styleId="NotesTextStepThird">
    <w:name w:val="Notes Text Step Third"/>
    <w:basedOn w:val="CAUTIONTextStep"/>
    <w:rsid w:val="00642033"/>
    <w:pPr>
      <w:numPr>
        <w:ilvl w:val="2"/>
        <w:numId w:val="38"/>
      </w:numPr>
      <w:pBdr>
        <w:bottom w:val="none" w:sz="0" w:space="0" w:color="auto"/>
      </w:pBdr>
      <w:spacing w:before="40" w:line="200" w:lineRule="atLeast"/>
    </w:pPr>
    <w:rPr>
      <w:sz w:val="18"/>
      <w:szCs w:val="18"/>
    </w:rPr>
  </w:style>
  <w:style w:type="paragraph" w:customStyle="1" w:styleId="Code">
    <w:name w:val="Code"/>
    <w:basedOn w:val="Normal"/>
    <w:rsid w:val="009341D2"/>
    <w:pPr>
      <w:widowControl w:val="0"/>
      <w:shd w:val="clear" w:color="auto" w:fill="F2F2F2"/>
      <w:autoSpaceDE w:val="0"/>
      <w:autoSpaceDN w:val="0"/>
      <w:spacing w:before="0" w:after="0" w:line="360" w:lineRule="auto"/>
    </w:pPr>
    <w:rPr>
      <w:rFonts w:ascii="Courier New" w:hAnsi="Courier New"/>
      <w:sz w:val="18"/>
    </w:rPr>
  </w:style>
  <w:style w:type="paragraph" w:customStyle="1" w:styleId="CodeinTable">
    <w:name w:val="Code in Table"/>
    <w:basedOn w:val="Normal"/>
    <w:rsid w:val="009341D3"/>
    <w:pPr>
      <w:widowControl w:val="0"/>
      <w:shd w:val="clear" w:color="auto" w:fill="F2F2F2"/>
      <w:snapToGrid w:val="0"/>
      <w:spacing w:before="80" w:after="80" w:line="240" w:lineRule="atLeast"/>
      <w:ind w:left="0"/>
    </w:pPr>
    <w:rPr>
      <w:rFonts w:ascii="Courier New" w:hAnsi="Courier New"/>
      <w:snapToGrid w:val="0"/>
      <w:sz w:val="18"/>
    </w:rPr>
  </w:style>
  <w:style w:type="paragraph" w:customStyle="1" w:styleId="Outline">
    <w:name w:val="Outline"/>
    <w:basedOn w:val="Normal"/>
    <w:semiHidden/>
    <w:rsid w:val="00814566"/>
    <w:rPr>
      <w:i/>
      <w:color w:val="0000FF"/>
    </w:rPr>
  </w:style>
  <w:style w:type="table" w:customStyle="1" w:styleId="RemarksTable">
    <w:name w:val="Remarks Table"/>
    <w:basedOn w:val="TableNormal"/>
    <w:rsid w:val="00A24251"/>
    <w:tblPr>
      <w:tblInd w:w="1809" w:type="dxa"/>
      <w:tblCellMar>
        <w:top w:w="0" w:type="dxa"/>
        <w:left w:w="108" w:type="dxa"/>
        <w:bottom w:w="0" w:type="dxa"/>
        <w:right w:w="108" w:type="dxa"/>
      </w:tblCellMar>
    </w:tblPr>
  </w:style>
  <w:style w:type="paragraph" w:customStyle="1" w:styleId="SubItemListTextTD">
    <w:name w:val="Sub Item List Text TD"/>
    <w:basedOn w:val="TerminalDisplay"/>
    <w:rsid w:val="00BA06CB"/>
    <w:pPr>
      <w:ind w:left="2551"/>
    </w:pPr>
    <w:rPr>
      <w:spacing w:val="-1"/>
    </w:rPr>
  </w:style>
  <w:style w:type="paragraph" w:customStyle="1" w:styleId="ThirdLevelItemListTextTD">
    <w:name w:val="Third Level Item List Text TD"/>
    <w:basedOn w:val="TerminalDisplay"/>
    <w:rsid w:val="00DC432E"/>
    <w:pPr>
      <w:adjustRightInd w:val="0"/>
      <w:ind w:left="2976"/>
    </w:pPr>
  </w:style>
  <w:style w:type="paragraph" w:customStyle="1" w:styleId="FourthLevelItemListTextTD">
    <w:name w:val="Fourth Level Item List Text TD"/>
    <w:basedOn w:val="TerminalDisplay"/>
    <w:rsid w:val="00DC432E"/>
    <w:pPr>
      <w:adjustRightInd w:val="0"/>
      <w:ind w:left="3401"/>
    </w:pPr>
  </w:style>
  <w:style w:type="paragraph" w:customStyle="1" w:styleId="FigureDescriptioninAppendix">
    <w:name w:val="Figure Description in Appendix"/>
    <w:basedOn w:val="FigureDescription"/>
    <w:next w:val="Figure"/>
    <w:rsid w:val="00F613A7"/>
    <w:pPr>
      <w:keepNext/>
      <w:numPr>
        <w:ilvl w:val="7"/>
        <w:numId w:val="36"/>
      </w:numPr>
    </w:pPr>
    <w:rPr>
      <w:rFonts w:eastAsia="宋体"/>
    </w:rPr>
  </w:style>
  <w:style w:type="paragraph" w:customStyle="1" w:styleId="ItemStepinAppendix">
    <w:name w:val="Item Step in Appendix"/>
    <w:basedOn w:val="ItemStep"/>
    <w:rsid w:val="00F613A7"/>
    <w:pPr>
      <w:numPr>
        <w:ilvl w:val="6"/>
        <w:numId w:val="36"/>
      </w:numPr>
      <w:outlineLvl w:val="5"/>
    </w:pPr>
  </w:style>
  <w:style w:type="paragraph" w:customStyle="1" w:styleId="FigureDescriptioninPreface">
    <w:name w:val="Figure Description in Preface"/>
    <w:basedOn w:val="FigureDescription"/>
    <w:next w:val="Figure"/>
    <w:rsid w:val="00F613A7"/>
    <w:pPr>
      <w:keepNext/>
      <w:numPr>
        <w:ilvl w:val="0"/>
        <w:numId w:val="41"/>
      </w:numPr>
    </w:pPr>
    <w:rPr>
      <w:rFonts w:eastAsia="宋体"/>
    </w:rPr>
  </w:style>
  <w:style w:type="paragraph" w:customStyle="1" w:styleId="StepinAppendix">
    <w:name w:val="Step in Appendix"/>
    <w:basedOn w:val="Step"/>
    <w:rsid w:val="00F613A7"/>
    <w:pPr>
      <w:numPr>
        <w:ilvl w:val="5"/>
        <w:numId w:val="36"/>
      </w:numPr>
      <w:topLinePunct w:val="0"/>
      <w:outlineLvl w:val="4"/>
    </w:pPr>
  </w:style>
  <w:style w:type="paragraph" w:customStyle="1" w:styleId="TableDescriptioninAppendix">
    <w:name w:val="Table Description in Appendix"/>
    <w:basedOn w:val="TableDescription"/>
    <w:next w:val="Normal"/>
    <w:rsid w:val="00F613A7"/>
    <w:pPr>
      <w:numPr>
        <w:ilvl w:val="8"/>
        <w:numId w:val="36"/>
      </w:numPr>
      <w:topLinePunct w:val="0"/>
    </w:pPr>
    <w:rPr>
      <w:rFonts w:eastAsia="宋体"/>
    </w:rPr>
  </w:style>
  <w:style w:type="paragraph" w:customStyle="1" w:styleId="TableDescriptioninPreface">
    <w:name w:val="Table Description in Preface"/>
    <w:basedOn w:val="TableDescription"/>
    <w:next w:val="Normal"/>
    <w:rsid w:val="00511C29"/>
    <w:pPr>
      <w:numPr>
        <w:ilvl w:val="0"/>
        <w:numId w:val="42"/>
      </w:numPr>
      <w:topLinePunct w:val="0"/>
    </w:pPr>
    <w:rPr>
      <w:rFonts w:eastAsia="宋体"/>
    </w:rPr>
  </w:style>
  <w:style w:type="paragraph" w:customStyle="1" w:styleId="ItemListinTableText">
    <w:name w:val="Item List in Table Text"/>
    <w:basedOn w:val="TableText"/>
    <w:rsid w:val="00704752"/>
    <w:pPr>
      <w:ind w:left="284"/>
    </w:pPr>
  </w:style>
  <w:style w:type="paragraph" w:customStyle="1" w:styleId="SubItemListinTableText">
    <w:name w:val="Sub Item List in Table Text"/>
    <w:basedOn w:val="TableText"/>
    <w:rsid w:val="00704753"/>
    <w:pPr>
      <w:ind w:left="568"/>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3.xml" /><Relationship Id="rId14" Type="http://schemas.openxmlformats.org/officeDocument/2006/relationships/footer" Target="footer4.xml" /><Relationship Id="rId15" Type="http://schemas.openxmlformats.org/officeDocument/2006/relationships/image" Target="media/image1.png" /><Relationship Id="rId16" Type="http://schemas.openxmlformats.org/officeDocument/2006/relationships/image" Target="media/image2.png" /><Relationship Id="rId17" Type="http://schemas.openxmlformats.org/officeDocument/2006/relationships/image" Target="media/image3.png" /><Relationship Id="rId18" Type="http://schemas.openxmlformats.org/officeDocument/2006/relationships/image" Target="media/image4.png" /><Relationship Id="rId19" Type="http://schemas.openxmlformats.org/officeDocument/2006/relationships/image" Target="media/image5.png" /><Relationship Id="rId2" Type="http://schemas.openxmlformats.org/officeDocument/2006/relationships/endnotes" Target="endnotes.xml" /><Relationship Id="rId20" Type="http://schemas.openxmlformats.org/officeDocument/2006/relationships/image" Target="media/image6.png" /><Relationship Id="rId21" Type="http://schemas.openxmlformats.org/officeDocument/2006/relationships/image" Target="media/image7.png" /><Relationship Id="rId22" Type="http://schemas.openxmlformats.org/officeDocument/2006/relationships/image" Target="media/image8.png" /><Relationship Id="rId23" Type="http://schemas.openxmlformats.org/officeDocument/2006/relationships/image" Target="media/image9.png" /><Relationship Id="rId24" Type="http://schemas.openxmlformats.org/officeDocument/2006/relationships/image" Target="media/image10.png" /><Relationship Id="rId25" Type="http://schemas.openxmlformats.org/officeDocument/2006/relationships/image" Target="media/image11.jpeg" /><Relationship Id="rId26" Type="http://schemas.openxmlformats.org/officeDocument/2006/relationships/image" Target="media/image12.jpeg" /><Relationship Id="rId27" Type="http://schemas.openxmlformats.org/officeDocument/2006/relationships/image" Target="media/image13.jpeg" /><Relationship Id="rId28" Type="http://schemas.openxmlformats.org/officeDocument/2006/relationships/image" Target="media/image14.png" /><Relationship Id="rId29" Type="http://schemas.openxmlformats.org/officeDocument/2006/relationships/image" Target="media/image15.png" /><Relationship Id="rId3" Type="http://schemas.openxmlformats.org/officeDocument/2006/relationships/settings" Target="settings.xml" /><Relationship Id="rId30" Type="http://schemas.openxmlformats.org/officeDocument/2006/relationships/image" Target="media/image16.png" /><Relationship Id="rId31" Type="http://schemas.openxmlformats.org/officeDocument/2006/relationships/image" Target="media/image17.png" /><Relationship Id="rId32" Type="http://schemas.openxmlformats.org/officeDocument/2006/relationships/image" Target="media/image18.png" /><Relationship Id="rId33" Type="http://schemas.openxmlformats.org/officeDocument/2006/relationships/image" Target="media/image19.png" /><Relationship Id="rId34" Type="http://schemas.openxmlformats.org/officeDocument/2006/relationships/image" Target="media/image20.png" /><Relationship Id="rId35" Type="http://schemas.openxmlformats.org/officeDocument/2006/relationships/image" Target="media/image21.png" /><Relationship Id="rId36" Type="http://schemas.openxmlformats.org/officeDocument/2006/relationships/image" Target="media/image22.png" /><Relationship Id="rId37" Type="http://schemas.openxmlformats.org/officeDocument/2006/relationships/image" Target="media/image23.png" /><Relationship Id="rId38" Type="http://schemas.openxmlformats.org/officeDocument/2006/relationships/image" Target="media/image24.png" /><Relationship Id="rId39" Type="http://schemas.openxmlformats.org/officeDocument/2006/relationships/image" Target="media/image25.png" /><Relationship Id="rId4" Type="http://schemas.openxmlformats.org/officeDocument/2006/relationships/webSettings" Target="webSettings.xml" /><Relationship Id="rId40" Type="http://schemas.openxmlformats.org/officeDocument/2006/relationships/image" Target="media/image26.png" /><Relationship Id="rId41" Type="http://schemas.openxmlformats.org/officeDocument/2006/relationships/image" Target="media/image27.png" /><Relationship Id="rId42" Type="http://schemas.openxmlformats.org/officeDocument/2006/relationships/image" Target="media/image28.png" /><Relationship Id="rId43" Type="http://schemas.openxmlformats.org/officeDocument/2006/relationships/header" Target="header6.xml" /><Relationship Id="rId44" Type="http://schemas.openxmlformats.org/officeDocument/2006/relationships/header" Target="header7.xml" /><Relationship Id="rId45" Type="http://schemas.openxmlformats.org/officeDocument/2006/relationships/footer" Target="footer5.xml" /><Relationship Id="rId46" Type="http://schemas.openxmlformats.org/officeDocument/2006/relationships/footer" Target="footer6.xml" /><Relationship Id="rId47" Type="http://schemas.openxmlformats.org/officeDocument/2006/relationships/image" Target="media/image29.png" /><Relationship Id="rId48" Type="http://schemas.openxmlformats.org/officeDocument/2006/relationships/image" Target="media/image30.png" /><Relationship Id="rId49" Type="http://schemas.openxmlformats.org/officeDocument/2006/relationships/image" Target="media/image31.png" /><Relationship Id="rId5" Type="http://schemas.openxmlformats.org/officeDocument/2006/relationships/fontTable" Target="fontTable.xml" /><Relationship Id="rId50" Type="http://schemas.openxmlformats.org/officeDocument/2006/relationships/image" Target="media/image32.png" /><Relationship Id="rId51" Type="http://schemas.openxmlformats.org/officeDocument/2006/relationships/image" Target="media/image33.png" /><Relationship Id="rId52" Type="http://schemas.openxmlformats.org/officeDocument/2006/relationships/image" Target="media/image34.png" /><Relationship Id="rId53" Type="http://schemas.openxmlformats.org/officeDocument/2006/relationships/image" Target="media/image35.png" /><Relationship Id="rId54" Type="http://schemas.openxmlformats.org/officeDocument/2006/relationships/image" Target="media/image36.png" /><Relationship Id="rId55" Type="http://schemas.openxmlformats.org/officeDocument/2006/relationships/image" Target="media/image37.png" /><Relationship Id="rId56" Type="http://schemas.openxmlformats.org/officeDocument/2006/relationships/image" Target="media/image38.png" /><Relationship Id="rId57" Type="http://schemas.openxmlformats.org/officeDocument/2006/relationships/image" Target="media/image39.png" /><Relationship Id="rId58" Type="http://schemas.openxmlformats.org/officeDocument/2006/relationships/image" Target="media/image40.jpeg" /><Relationship Id="rId59" Type="http://schemas.openxmlformats.org/officeDocument/2006/relationships/image" Target="media/image41.jpeg" /><Relationship Id="rId6" Type="http://schemas.openxmlformats.org/officeDocument/2006/relationships/header" Target="header1.xml" /><Relationship Id="rId60" Type="http://schemas.openxmlformats.org/officeDocument/2006/relationships/image" Target="media/image42.jpeg" /><Relationship Id="rId61" Type="http://schemas.openxmlformats.org/officeDocument/2006/relationships/image" Target="media/image43.jpeg" /><Relationship Id="rId62" Type="http://schemas.openxmlformats.org/officeDocument/2006/relationships/image" Target="media/image44.jpeg" /><Relationship Id="rId63" Type="http://schemas.openxmlformats.org/officeDocument/2006/relationships/image" Target="media/image45.jpeg" /><Relationship Id="rId64" Type="http://schemas.openxmlformats.org/officeDocument/2006/relationships/header" Target="header8.xml" /><Relationship Id="rId65" Type="http://schemas.openxmlformats.org/officeDocument/2006/relationships/header" Target="header9.xml" /><Relationship Id="rId66" Type="http://schemas.openxmlformats.org/officeDocument/2006/relationships/footer" Target="footer7.xml" /><Relationship Id="rId67" Type="http://schemas.openxmlformats.org/officeDocument/2006/relationships/footer" Target="footer8.xml" /><Relationship Id="rId68" Type="http://schemas.openxmlformats.org/officeDocument/2006/relationships/header" Target="header10.xml" /><Relationship Id="rId69" Type="http://schemas.openxmlformats.org/officeDocument/2006/relationships/header" Target="header11.xml" /><Relationship Id="rId7" Type="http://schemas.openxmlformats.org/officeDocument/2006/relationships/header" Target="header2.xml" /><Relationship Id="rId70" Type="http://schemas.openxmlformats.org/officeDocument/2006/relationships/footer" Target="footer9.xml" /><Relationship Id="rId71" Type="http://schemas.openxmlformats.org/officeDocument/2006/relationships/footer" Target="footer10.xml" /><Relationship Id="rId72" Type="http://schemas.openxmlformats.org/officeDocument/2006/relationships/theme" Target="theme/theme1.xml" /><Relationship Id="rId73" Type="http://schemas.openxmlformats.org/officeDocument/2006/relationships/numbering" Target="numbering.xml" /><Relationship Id="rId74" Type="http://schemas.openxmlformats.org/officeDocument/2006/relationships/styles" Target="styles.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45</Pages>
  <Words>6155</Words>
  <Characters>33727</Characters>
  <Application>Microsoft Office Word</Application>
  <DocSecurity>0</DocSecurity>
  <Lines>0</Lines>
  <Paragraphs>505</Paragraphs>
  <ScaleCrop>false</ScaleCrop>
  <Company>Huawei Technologies Co.,Ltd.</Company>
  <LinksUpToDate>false</LinksUpToDate>
  <CharactersWithSpaces>39297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Room Decoration Guide</dc:title>
  <dc:subject>Technical Document</dc:subject>
  <dc:creator>Huawei Technologies Co.,Ltd.</dc:creator>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Conference Room Decoration Guide</vt:lpwstr>
  </property>
  <property fmtid="{D5CDD505-2E9C-101B-9397-08002B2CF9AE}" pid="3" name="DocumentVersion">
    <vt:lpwstr>01</vt:lpwstr>
  </property>
  <property fmtid="{D5CDD505-2E9C-101B-9397-08002B2CF9AE}" pid="4" name="PartNumber">
    <vt:lpwstr/>
  </property>
  <property fmtid="{D5CDD505-2E9C-101B-9397-08002B2CF9AE}" pid="5" name="Product&amp;Project Name">
    <vt:lpwstr>Immersive Telepresence</vt:lpwstr>
  </property>
  <property fmtid="{D5CDD505-2E9C-101B-9397-08002B2CF9AE}" pid="6" name="ProductVersion">
    <vt:lpwstr>25.1</vt:lpwstr>
  </property>
  <property fmtid="{D5CDD505-2E9C-101B-9397-08002B2CF9AE}" pid="7" name="ProprietaryDeclaration">
    <vt:lpwstr>Copyright Holder Proprietary and Confidential                   Copyright © Copyright Holder.</vt:lpwstr>
  </property>
  <property fmtid="{D5CDD505-2E9C-101B-9397-08002B2CF9AE}" pid="8" name="ReleaseDate">
    <vt:lpwstr>2026-06-30</vt:lpwstr>
  </property>
  <property fmtid="{D5CDD505-2E9C-101B-9397-08002B2CF9AE}" pid="9" name="SecretLevel">
    <vt:lpwstr>PUBLIC OPEN</vt:lpwstr>
  </property>
  <property fmtid="{D5CDD505-2E9C-101B-9397-08002B2CF9AE}" pid="10" name="Trademark&amp;ProductType">
    <vt:lpwstr>Immersive Telepresence</vt:lpwstr>
  </property>
</Properties>
</file>